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Федеральный закон № 135-ФЗ от 26 июля 2006 г.</w:t>
      </w:r>
    </w:p>
    <w:p>
      <w:pPr>
        <w:pStyle w:val="Heading2"/>
        <w:rPr/>
      </w:pPr>
      <w:r>
        <w:rPr/>
        <w:t>«О защите конкуренции»</w:t>
      </w:r>
    </w:p>
    <w:p>
      <w:pPr>
        <w:pStyle w:val="TextBody"/>
        <w:rPr/>
      </w:pPr>
      <w:r>
        <w:rPr/>
        <w:t> </w:t>
      </w:r>
    </w:p>
    <w:p>
      <w:pPr>
        <w:pStyle w:val="TextBody"/>
        <w:rPr/>
      </w:pPr>
      <w:r>
        <w:rPr>
          <w:rStyle w:val="StrongEmphasis"/>
        </w:rPr>
        <w:t>Глава 1. ОБЩИЕ ПОЛОЖЕНИЯ</w:t>
      </w:r>
    </w:p>
    <w:p>
      <w:pPr>
        <w:pStyle w:val="TextBody"/>
        <w:rPr/>
      </w:pPr>
      <w:r>
        <w:rPr>
          <w:rStyle w:val="StrongEmphasis"/>
        </w:rPr>
        <w:t>Статья 1. Предмет и цели настоящего Федерального закона</w:t>
      </w:r>
    </w:p>
    <w:p>
      <w:pPr>
        <w:pStyle w:val="TextBody"/>
        <w:numPr>
          <w:ilvl w:val="0"/>
          <w:numId w:val="1"/>
        </w:numPr>
        <w:tabs>
          <w:tab w:val="left" w:pos="0" w:leader="none"/>
        </w:tabs>
        <w:ind w:left="707" w:hanging="283"/>
        <w:rPr/>
      </w:pPr>
      <w:r>
        <w:rPr/>
        <w:t xml:space="preserve">Настоящий Федеральный закон определяет организационные и правовые основы защиты конкуренции, в том числе предупреждения и пресечения: </w:t>
      </w:r>
    </w:p>
    <w:p>
      <w:pPr>
        <w:pStyle w:val="TextBody"/>
        <w:rPr/>
      </w:pPr>
      <w:r>
        <w:rPr/>
        <w:t>1) монополистической деятельности и недобросовестной конкуренции;</w:t>
      </w:r>
    </w:p>
    <w:p>
      <w:pPr>
        <w:pStyle w:val="TextBody"/>
        <w:rPr/>
      </w:pPr>
      <w:r>
        <w:rP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pPr>
        <w:pStyle w:val="TextBody"/>
        <w:numPr>
          <w:ilvl w:val="0"/>
          <w:numId w:val="2"/>
        </w:numPr>
        <w:tabs>
          <w:tab w:val="left" w:pos="0" w:leader="none"/>
        </w:tabs>
        <w:ind w:left="707" w:hanging="283"/>
        <w:rPr/>
      </w:pPr>
      <w:r>
        <w:rPr/>
        <w:t xml:space="preserve">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 </w:t>
      </w:r>
    </w:p>
    <w:p>
      <w:pPr>
        <w:pStyle w:val="TextBody"/>
        <w:rPr/>
      </w:pPr>
      <w:r>
        <w:rPr>
          <w:rStyle w:val="StrongEmphasis"/>
        </w:rPr>
        <w:t>Статья 2. Антимонопольное законодательство Российской Федерации и иные нормативные правовые акты о защите конкуренции</w:t>
      </w:r>
    </w:p>
    <w:p>
      <w:pPr>
        <w:pStyle w:val="TextBody"/>
        <w:numPr>
          <w:ilvl w:val="0"/>
          <w:numId w:val="3"/>
        </w:numPr>
        <w:tabs>
          <w:tab w:val="left" w:pos="0" w:leader="none"/>
        </w:tabs>
        <w:spacing w:before="0" w:after="0"/>
        <w:ind w:left="707" w:hanging="283"/>
        <w:rPr/>
      </w:pPr>
      <w:r>
        <w:rPr/>
        <w:t xml:space="preserve">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кодексе Российской Федерации и состоит из настоящего Федерального закона, иных федеральных законов, регулирующих отношения, указанные в статье 3 настоящего Федерального закона. </w:t>
      </w:r>
    </w:p>
    <w:p>
      <w:pPr>
        <w:pStyle w:val="TextBody"/>
        <w:numPr>
          <w:ilvl w:val="0"/>
          <w:numId w:val="3"/>
        </w:numPr>
        <w:tabs>
          <w:tab w:val="left" w:pos="0" w:leader="none"/>
        </w:tabs>
        <w:spacing w:before="0" w:after="0"/>
        <w:ind w:left="707" w:hanging="283"/>
        <w:rPr/>
      </w:pPr>
      <w:r>
        <w:rPr/>
        <w:t xml:space="preserve">Отношения, указанные в статье 3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 </w:t>
      </w:r>
    </w:p>
    <w:p>
      <w:pPr>
        <w:pStyle w:val="TextBody"/>
        <w:numPr>
          <w:ilvl w:val="0"/>
          <w:numId w:val="3"/>
        </w:numPr>
        <w:tabs>
          <w:tab w:val="left" w:pos="0" w:leader="none"/>
        </w:tabs>
        <w:ind w:left="707" w:hanging="283"/>
        <w:rPr/>
      </w:pPr>
      <w:r>
        <w:rPr/>
        <w:t xml:space="preserve">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 </w:t>
      </w:r>
    </w:p>
    <w:p>
      <w:pPr>
        <w:pStyle w:val="TextBody"/>
        <w:rPr/>
      </w:pPr>
      <w:r>
        <w:rPr>
          <w:rStyle w:val="StrongEmphasis"/>
        </w:rPr>
        <w:t>Статья 3. Сфера применения настоящего Федерального закона</w:t>
      </w:r>
    </w:p>
    <w:p>
      <w:pPr>
        <w:pStyle w:val="TextBody"/>
        <w:numPr>
          <w:ilvl w:val="0"/>
          <w:numId w:val="4"/>
        </w:numPr>
        <w:tabs>
          <w:tab w:val="left" w:pos="0" w:leader="none"/>
        </w:tabs>
        <w:spacing w:before="0" w:after="0"/>
        <w:ind w:left="707" w:hanging="283"/>
        <w:rPr/>
      </w:pPr>
      <w:r>
        <w:rPr/>
        <w:t xml:space="preserve">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 </w:t>
      </w:r>
    </w:p>
    <w:p>
      <w:pPr>
        <w:pStyle w:val="TextBody"/>
        <w:numPr>
          <w:ilvl w:val="0"/>
          <w:numId w:val="4"/>
        </w:numPr>
        <w:tabs>
          <w:tab w:val="left" w:pos="0" w:leader="none"/>
        </w:tabs>
        <w:spacing w:before="0" w:after="0"/>
        <w:ind w:left="707" w:hanging="283"/>
        <w:rPr/>
      </w:pPr>
      <w:r>
        <w:rPr/>
        <w:t xml:space="preserve">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 </w:t>
      </w:r>
    </w:p>
    <w:p>
      <w:pPr>
        <w:pStyle w:val="TextBody"/>
        <w:numPr>
          <w:ilvl w:val="0"/>
          <w:numId w:val="4"/>
        </w:numPr>
        <w:tabs>
          <w:tab w:val="left" w:pos="0" w:leader="none"/>
        </w:tabs>
        <w:ind w:left="707" w:hanging="283"/>
        <w:rPr/>
      </w:pPr>
      <w:r>
        <w:rPr/>
        <w:t xml:space="preserve">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 </w:t>
      </w:r>
    </w:p>
    <w:p>
      <w:pPr>
        <w:pStyle w:val="TextBody"/>
        <w:rPr/>
      </w:pPr>
      <w:r>
        <w:rPr>
          <w:rStyle w:val="StrongEmphasis"/>
        </w:rPr>
        <w:t>Статья 4. Основные понятия, используемые в настоящем Федеральном законе</w:t>
      </w:r>
    </w:p>
    <w:p>
      <w:pPr>
        <w:pStyle w:val="TextBody"/>
        <w:rPr/>
      </w:pPr>
      <w:r>
        <w:rPr/>
        <w:t>В настоящем Федеральном законе используются следующие основные понятия:</w:t>
      </w:r>
    </w:p>
    <w:p>
      <w:pPr>
        <w:pStyle w:val="TextBody"/>
        <w:rPr/>
      </w:pPr>
      <w:r>
        <w:rP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TextBody"/>
        <w:rPr/>
      </w:pPr>
      <w:r>
        <w:rP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pPr>
        <w:pStyle w:val="TextBody"/>
        <w:rPr/>
      </w:pPr>
      <w:r>
        <w:rP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TextBody"/>
        <w:rPr/>
      </w:pPr>
      <w:r>
        <w:rP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TextBody"/>
        <w:rPr/>
      </w:pPr>
      <w:r>
        <w:rP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pPr>
        <w:pStyle w:val="TextBody"/>
        <w:rPr/>
      </w:pPr>
      <w:r>
        <w:rP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pPr>
        <w:pStyle w:val="TextBody"/>
        <w:rPr/>
      </w:pPr>
      <w:r>
        <w:rP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TextBody"/>
        <w:rPr/>
      </w:pPr>
      <w:r>
        <w:rP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TextBody"/>
        <w:rPr/>
      </w:pPr>
      <w:r>
        <w:rP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TextBody"/>
        <w:rPr/>
      </w:pPr>
      <w:r>
        <w:rP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TextBody"/>
        <w:rPr/>
      </w:pPr>
      <w:r>
        <w:rP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pPr>
        <w:pStyle w:val="TextBody"/>
        <w:rPr/>
      </w:pPr>
      <w:r>
        <w:rP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pPr>
        <w:pStyle w:val="TextBody"/>
        <w:rPr/>
      </w:pPr>
      <w:r>
        <w:rPr/>
        <w:t>13) конкурентная цена финансовой услуги - цена, по которой финансовая услуга может быть оказана в условиях конкуренции;</w:t>
      </w:r>
    </w:p>
    <w:p>
      <w:pPr>
        <w:pStyle w:val="TextBody"/>
        <w:rPr/>
      </w:pPr>
      <w:r>
        <w:rP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pPr>
        <w:pStyle w:val="TextBody"/>
        <w:rPr/>
      </w:pPr>
      <w:r>
        <w:rPr/>
        <w:t>15) антимонопольный орган - федеральный антимонопольный орган и его территориальные органы;</w:t>
      </w:r>
    </w:p>
    <w:p>
      <w:pPr>
        <w:pStyle w:val="TextBody"/>
        <w:rPr/>
      </w:pPr>
      <w:r>
        <w:rP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pPr>
        <w:pStyle w:val="TextBody"/>
        <w:rPr/>
      </w:pPr>
      <w:r>
        <w:rP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pPr>
        <w:pStyle w:val="TextBody"/>
        <w:rPr/>
      </w:pPr>
      <w:r>
        <w:rPr/>
        <w:t>18)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TextBody"/>
        <w:rPr/>
      </w:pPr>
      <w:r>
        <w:rP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pPr>
        <w:pStyle w:val="TextBody"/>
        <w:rPr/>
      </w:pPr>
      <w:r>
        <w:rP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TextBody"/>
        <w:rPr/>
      </w:pPr>
      <w:r>
        <w:rPr/>
        <w:t>21) экономическая концентрация - сделки, иные действия, осуществление которых оказывает влияние на состояние конкуренции;</w:t>
      </w:r>
    </w:p>
    <w:p>
      <w:pPr>
        <w:pStyle w:val="TextBody"/>
        <w:rPr/>
      </w:pPr>
      <w:r>
        <w:rPr/>
        <w:t>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главой 7 настоящего Федерального закона;</w:t>
      </w:r>
    </w:p>
    <w:p>
      <w:pPr>
        <w:pStyle w:val="TextBody"/>
        <w:rPr/>
      </w:pPr>
      <w:r>
        <w:rPr/>
        <w:t>23) потребитель - юридическое лицо или физическое лицо, приобретающие товар.</w:t>
      </w:r>
    </w:p>
    <w:p>
      <w:pPr>
        <w:pStyle w:val="TextBody"/>
        <w:rPr/>
      </w:pPr>
      <w:r>
        <w:rPr>
          <w:rStyle w:val="StrongEmphasis"/>
        </w:rPr>
        <w:t>Статья 5. Доминирующее положение</w:t>
      </w:r>
    </w:p>
    <w:p>
      <w:pPr>
        <w:pStyle w:val="TextBody"/>
        <w:numPr>
          <w:ilvl w:val="0"/>
          <w:numId w:val="5"/>
        </w:numPr>
        <w:tabs>
          <w:tab w:val="left" w:pos="0" w:leader="none"/>
        </w:tabs>
        <w:ind w:left="707" w:hanging="283"/>
        <w:rPr/>
      </w:pPr>
      <w:r>
        <w:rPr/>
        <w:t xml:space="preserve">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 </w:t>
      </w:r>
    </w:p>
    <w:p>
      <w:pPr>
        <w:pStyle w:val="TextBody"/>
        <w:rPr/>
      </w:pPr>
      <w:r>
        <w:rP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pPr>
        <w:pStyle w:val="TextBody"/>
        <w:rPr/>
      </w:pPr>
      <w:r>
        <w:rP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pPr>
        <w:pStyle w:val="TextBody"/>
        <w:numPr>
          <w:ilvl w:val="0"/>
          <w:numId w:val="6"/>
        </w:numPr>
        <w:tabs>
          <w:tab w:val="left" w:pos="0" w:leader="none"/>
        </w:tabs>
        <w:ind w:left="707" w:hanging="283"/>
        <w:rPr/>
      </w:pPr>
      <w:r>
        <w:rPr/>
        <w:t xml:space="preserve">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частях 3 и 6 настоящей статьи случаев. </w:t>
      </w:r>
    </w:p>
    <w:p>
      <w:pPr>
        <w:pStyle w:val="TextBody"/>
        <w:rPr/>
      </w:pPr>
      <w:r>
        <w:rP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pPr>
        <w:pStyle w:val="TextBody"/>
        <w:rPr/>
      </w:pPr>
      <w:r>
        <w:rPr/>
        <w:t>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Данное исключение не применяется к хозяйствующим субъектам, входящим в группу лиц по основанию, предусмотренному пунктом 7 части 1 статьи 9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пунктом 7 части 1 статьи 9 настоящего Федерального закона; к хозяйствующему субъекту, участником которого является индивидуальный предприниматель;</w:t>
      </w:r>
    </w:p>
    <w:p>
      <w:pPr>
        <w:pStyle w:val="TextBody"/>
        <w:rPr/>
      </w:pPr>
      <w:r>
        <w:rPr/>
        <w:t>2) финансовой организации;</w:t>
      </w:r>
    </w:p>
    <w:p>
      <w:pPr>
        <w:pStyle w:val="TextBody"/>
        <w:rPr/>
      </w:pPr>
      <w:r>
        <w:rPr/>
        <w:t>3) субъекта естественной монополии на товарном рынке, находящемся в состоянии естественной монополии;</w:t>
      </w:r>
    </w:p>
    <w:p>
      <w:pPr>
        <w:pStyle w:val="TextBody"/>
        <w:rPr/>
      </w:pPr>
      <w:r>
        <w:rPr/>
        <w:t>4) хозяйствующего субъекта, имеющего в качестве учредителей или участников хозяйствующих субъектов - юридических лиц;</w:t>
      </w:r>
    </w:p>
    <w:p>
      <w:pPr>
        <w:pStyle w:val="TextBody"/>
        <w:rPr/>
      </w:pPr>
      <w:r>
        <w:rP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pPr>
        <w:pStyle w:val="TextBody"/>
        <w:rPr/>
      </w:pPr>
      <w:r>
        <w:rPr/>
        <w:t>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пунктом 7 части 1 статьи 9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пунктом 7 части 1 статьи 9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pPr>
        <w:pStyle w:val="TextBody"/>
        <w:numPr>
          <w:ilvl w:val="0"/>
          <w:numId w:val="7"/>
        </w:numPr>
        <w:tabs>
          <w:tab w:val="left" w:pos="0" w:leader="none"/>
        </w:tabs>
        <w:ind w:left="707" w:hanging="283"/>
        <w:rPr/>
      </w:pPr>
      <w:r>
        <w:rPr/>
        <w:t xml:space="preserve">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t>
      </w:r>
    </w:p>
    <w:p>
      <w:pPr>
        <w:pStyle w:val="TextBody"/>
        <w:rPr/>
      </w:pPr>
      <w:r>
        <w:rP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pPr>
        <w:pStyle w:val="TextBody"/>
        <w:rPr/>
      </w:pPr>
      <w:r>
        <w:rP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pPr>
        <w:pStyle w:val="TextBody"/>
        <w:rPr/>
      </w:pPr>
      <w:r>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pPr>
        <w:pStyle w:val="TextBody"/>
        <w:numPr>
          <w:ilvl w:val="0"/>
          <w:numId w:val="8"/>
        </w:numPr>
        <w:tabs>
          <w:tab w:val="left" w:pos="0" w:leader="none"/>
        </w:tabs>
        <w:spacing w:before="0" w:after="0"/>
        <w:ind w:left="707" w:hanging="283"/>
        <w:rPr/>
      </w:pPr>
      <w:r>
        <w:rPr/>
        <w:t xml:space="preserve">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 </w:t>
      </w:r>
    </w:p>
    <w:p>
      <w:pPr>
        <w:pStyle w:val="TextBody"/>
        <w:numPr>
          <w:ilvl w:val="0"/>
          <w:numId w:val="8"/>
        </w:numPr>
        <w:tabs>
          <w:tab w:val="left" w:pos="0" w:leader="none"/>
        </w:tabs>
        <w:spacing w:before="0" w:after="0"/>
        <w:ind w:left="707" w:hanging="283"/>
        <w:rPr/>
      </w:pPr>
      <w:r>
        <w:rPr/>
        <w:t xml:space="preserve">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 </w:t>
      </w:r>
    </w:p>
    <w:p>
      <w:pPr>
        <w:pStyle w:val="TextBody"/>
        <w:numPr>
          <w:ilvl w:val="0"/>
          <w:numId w:val="8"/>
        </w:numPr>
        <w:tabs>
          <w:tab w:val="left" w:pos="0" w:leader="none"/>
        </w:tabs>
        <w:ind w:left="707" w:hanging="283"/>
        <w:rPr/>
      </w:pPr>
      <w:r>
        <w:rPr/>
        <w:t xml:space="preserve">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t>
      </w:r>
    </w:p>
    <w:p>
      <w:pPr>
        <w:pStyle w:val="TextBody"/>
        <w:rPr/>
      </w:pPr>
      <w:r>
        <w:rPr/>
        <w:t>6.1 - 6.2. Утратили силу. - Федеральный закон от 05.10.2015 N 275-ФЗ.</w:t>
      </w:r>
    </w:p>
    <w:p>
      <w:pPr>
        <w:pStyle w:val="TextBody"/>
        <w:numPr>
          <w:ilvl w:val="0"/>
          <w:numId w:val="9"/>
        </w:numPr>
        <w:tabs>
          <w:tab w:val="left" w:pos="0" w:leader="none"/>
        </w:tabs>
        <w:spacing w:before="0" w:after="0"/>
        <w:ind w:left="707" w:hanging="283"/>
        <w:rPr/>
      </w:pPr>
      <w:r>
        <w:rPr/>
        <w:t xml:space="preserve">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 </w:t>
      </w:r>
    </w:p>
    <w:p>
      <w:pPr>
        <w:pStyle w:val="TextBody"/>
        <w:numPr>
          <w:ilvl w:val="0"/>
          <w:numId w:val="9"/>
        </w:numPr>
        <w:tabs>
          <w:tab w:val="left" w:pos="0" w:leader="none"/>
        </w:tabs>
        <w:spacing w:before="0" w:after="0"/>
        <w:ind w:left="707" w:hanging="283"/>
        <w:rPr/>
      </w:pPr>
      <w:r>
        <w:rPr/>
        <w:t xml:space="preserve">При проведении предусмотренного пунктом 3 части 2 статьи 23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 </w:t>
      </w:r>
    </w:p>
    <w:p>
      <w:pPr>
        <w:pStyle w:val="TextBody"/>
        <w:numPr>
          <w:ilvl w:val="0"/>
          <w:numId w:val="9"/>
        </w:numPr>
        <w:tabs>
          <w:tab w:val="left" w:pos="0" w:leader="none"/>
        </w:tabs>
        <w:ind w:left="707" w:hanging="283"/>
        <w:rPr/>
      </w:pPr>
      <w:r>
        <w:rPr/>
        <w:t xml:space="preserve">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 </w:t>
      </w:r>
    </w:p>
    <w:p>
      <w:pPr>
        <w:pStyle w:val="TextBody"/>
        <w:rPr/>
      </w:pPr>
      <w:r>
        <w:rPr>
          <w:rStyle w:val="StrongEmphasis"/>
        </w:rPr>
        <w:t>Статья 6. Монопольно высокая цена товара</w:t>
      </w:r>
    </w:p>
    <w:p>
      <w:pPr>
        <w:pStyle w:val="TextBody"/>
        <w:numPr>
          <w:ilvl w:val="0"/>
          <w:numId w:val="10"/>
        </w:numPr>
        <w:tabs>
          <w:tab w:val="left" w:pos="0" w:leader="none"/>
        </w:tabs>
        <w:ind w:left="707" w:hanging="283"/>
        <w:rPr/>
      </w:pPr>
      <w:r>
        <w:rPr/>
        <w:t xml:space="preserve">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 </w:t>
      </w:r>
    </w:p>
    <w:p>
      <w:pPr>
        <w:pStyle w:val="TextBody"/>
        <w:rPr/>
      </w:pPr>
      <w:r>
        <w:rPr/>
        <w:t>1) путем повышения ранее установленной цены товара, если при этом выполняются в совокупности следующие условия:</w:t>
      </w:r>
    </w:p>
    <w:p>
      <w:pPr>
        <w:pStyle w:val="TextBody"/>
        <w:rPr/>
      </w:pPr>
      <w:r>
        <w:rPr/>
        <w:t>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TextBody"/>
        <w:rPr/>
      </w:pPr>
      <w:r>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TextBody"/>
        <w:rPr/>
      </w:pPr>
      <w:r>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TextBody"/>
        <w:rPr/>
      </w:pPr>
      <w:r>
        <w:rPr/>
        <w:t>2) путем поддержания или неснижения ранее установленной цены товара, если при этом выполняются в совокупности следующие условия:</w:t>
      </w:r>
    </w:p>
    <w:p>
      <w:pPr>
        <w:pStyle w:val="TextBody"/>
        <w:rPr/>
      </w:pPr>
      <w:r>
        <w:rPr/>
        <w:t>а) расходы, необходимые для производства и реализации товара, существенно снизились;</w:t>
      </w:r>
    </w:p>
    <w:p>
      <w:pPr>
        <w:pStyle w:val="TextBody"/>
        <w:rPr/>
      </w:pPr>
      <w:r>
        <w:rPr/>
        <w:t>б) состав продавцов или покупателей товара обусловливает возможность изменения цены товара в сторону уменьшения;</w:t>
      </w:r>
    </w:p>
    <w:p>
      <w:pPr>
        <w:pStyle w:val="TextBody"/>
        <w:rPr/>
      </w:pPr>
      <w:r>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pPr>
        <w:pStyle w:val="TextBody"/>
        <w:numPr>
          <w:ilvl w:val="0"/>
          <w:numId w:val="11"/>
        </w:numPr>
        <w:tabs>
          <w:tab w:val="left" w:pos="0" w:leader="none"/>
        </w:tabs>
        <w:spacing w:before="0" w:after="0"/>
        <w:ind w:left="707" w:hanging="283"/>
        <w:rPr/>
      </w:pPr>
      <w:r>
        <w:rPr/>
        <w:t xml:space="preserve">При соблюдении условий, предусмотренных частью 1 статьи 13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 </w:t>
      </w:r>
    </w:p>
    <w:p>
      <w:pPr>
        <w:pStyle w:val="TextBody"/>
        <w:numPr>
          <w:ilvl w:val="0"/>
          <w:numId w:val="11"/>
        </w:numPr>
        <w:tabs>
          <w:tab w:val="left" w:pos="0" w:leader="none"/>
        </w:tabs>
        <w:spacing w:before="0" w:after="0"/>
        <w:ind w:left="707" w:hanging="283"/>
        <w:rPr/>
      </w:pPr>
      <w:r>
        <w:rPr/>
        <w:t xml:space="preserve">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 </w:t>
      </w:r>
    </w:p>
    <w:p>
      <w:pPr>
        <w:pStyle w:val="TextBody"/>
        <w:numPr>
          <w:ilvl w:val="0"/>
          <w:numId w:val="11"/>
        </w:numPr>
        <w:tabs>
          <w:tab w:val="left" w:pos="0" w:leader="none"/>
        </w:tabs>
        <w:spacing w:before="0" w:after="0"/>
        <w:ind w:left="707" w:hanging="283"/>
        <w:rPr/>
      </w:pPr>
      <w:r>
        <w:rPr/>
        <w:t xml:space="preserve">Цена товара не признается монопольно высокой в случае непревышения цены, которая сформировалась в условиях конкуренции на сопоставимом товарном рынке. </w:t>
      </w:r>
    </w:p>
    <w:p>
      <w:pPr>
        <w:pStyle w:val="TextBody"/>
        <w:numPr>
          <w:ilvl w:val="0"/>
          <w:numId w:val="11"/>
        </w:numPr>
        <w:tabs>
          <w:tab w:val="left" w:pos="0" w:leader="none"/>
        </w:tabs>
        <w:ind w:left="707" w:hanging="283"/>
        <w:rPr/>
      </w:pPr>
      <w:r>
        <w:rPr/>
        <w:t xml:space="preserve">Цена товара не признается монопольно высокой в случае, если она установлена на бирже при одновременном соблюдении следующих условий: </w:t>
      </w:r>
    </w:p>
    <w:p>
      <w:pPr>
        <w:pStyle w:val="TextBody"/>
        <w:rPr/>
      </w:pPr>
      <w:r>
        <w:rP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pPr>
        <w:pStyle w:val="TextBody"/>
        <w:rPr/>
      </w:pPr>
      <w:r>
        <w:rP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pPr>
        <w:pStyle w:val="TextBody"/>
        <w:rPr/>
      </w:pPr>
      <w:r>
        <w:rPr/>
        <w:t>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порядке, установленном федеральным антимонопольным органом;</w:t>
      </w:r>
    </w:p>
    <w:p>
      <w:pPr>
        <w:pStyle w:val="TextBody"/>
        <w:rPr/>
      </w:pPr>
      <w:r>
        <w:rP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pPr>
        <w:pStyle w:val="TextBody"/>
        <w:rPr/>
      </w:pPr>
      <w:r>
        <w:rPr/>
        <w:t>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критерии регулярности и равномерности реализации товара на бирже для отдельных товарных рынков;</w:t>
      </w:r>
    </w:p>
    <w:p>
      <w:pPr>
        <w:pStyle w:val="TextBody"/>
        <w:rPr/>
      </w:pPr>
      <w:r>
        <w:rPr/>
        <w:t>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порядке, которые установлены Правительством Российской Федерации;</w:t>
      </w:r>
    </w:p>
    <w:p>
      <w:pPr>
        <w:pStyle w:val="TextBody"/>
        <w:rPr/>
      </w:pPr>
      <w:r>
        <w:rPr/>
        <w:t>7) минимальный размер биржевого лота не препятствует доступу на соответствующий товарный рынок;</w:t>
      </w:r>
    </w:p>
    <w:p>
      <w:pPr>
        <w:pStyle w:val="TextBody"/>
        <w:rPr/>
      </w:pPr>
      <w:r>
        <w:rPr/>
        <w:t>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законодательства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pPr>
        <w:pStyle w:val="TextBody"/>
        <w:numPr>
          <w:ilvl w:val="0"/>
          <w:numId w:val="12"/>
        </w:numPr>
        <w:tabs>
          <w:tab w:val="left" w:pos="0" w:leader="none"/>
        </w:tabs>
        <w:spacing w:before="0" w:after="0"/>
        <w:ind w:left="707" w:hanging="283"/>
        <w:rPr/>
      </w:pPr>
      <w:r>
        <w:rPr/>
        <w:t xml:space="preserve">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t>
      </w:r>
    </w:p>
    <w:p>
      <w:pPr>
        <w:pStyle w:val="TextBody"/>
        <w:numPr>
          <w:ilvl w:val="0"/>
          <w:numId w:val="12"/>
        </w:numPr>
        <w:tabs>
          <w:tab w:val="left" w:pos="0" w:leader="none"/>
        </w:tabs>
        <w:spacing w:before="0" w:after="0"/>
        <w:ind w:left="707" w:hanging="283"/>
        <w:rPr/>
      </w:pPr>
      <w:r>
        <w:rPr/>
        <w:t xml:space="preserve">Не признается монопольно высокой цена товара в случае, если она не превышает цену, установленную на бирже с соблюдением предусмотренных частями 5 и 6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 </w:t>
      </w:r>
    </w:p>
    <w:p>
      <w:pPr>
        <w:pStyle w:val="TextBody"/>
        <w:numPr>
          <w:ilvl w:val="0"/>
          <w:numId w:val="12"/>
        </w:numPr>
        <w:tabs>
          <w:tab w:val="left" w:pos="0" w:leader="none"/>
        </w:tabs>
        <w:ind w:left="707" w:hanging="283"/>
        <w:rPr/>
      </w:pPr>
      <w:r>
        <w:rPr/>
        <w:t xml:space="preserve">При определении монопольно высокой цены товара в соответствии с частью 1 настоящей статьи учитываются биржевые и внебиржевые индикаторы цен, установленные на мировых рынках аналогичного товара. </w:t>
      </w:r>
    </w:p>
    <w:p>
      <w:pPr>
        <w:pStyle w:val="TextBody"/>
        <w:rPr/>
      </w:pPr>
      <w:r>
        <w:rPr>
          <w:rStyle w:val="StrongEmphasis"/>
        </w:rPr>
        <w:t>Статья 7. Монопольно низкая цена товара</w:t>
      </w:r>
    </w:p>
    <w:p>
      <w:pPr>
        <w:pStyle w:val="TextBody"/>
        <w:numPr>
          <w:ilvl w:val="0"/>
          <w:numId w:val="13"/>
        </w:numPr>
        <w:tabs>
          <w:tab w:val="left" w:pos="0" w:leader="none"/>
        </w:tabs>
        <w:ind w:left="707" w:hanging="283"/>
        <w:rPr/>
      </w:pPr>
      <w:r>
        <w:rPr/>
        <w:t xml:space="preserve">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 </w:t>
      </w:r>
    </w:p>
    <w:p>
      <w:pPr>
        <w:pStyle w:val="TextBody"/>
        <w:rPr/>
      </w:pPr>
      <w:r>
        <w:rPr/>
        <w:t>1) путем снижения ранее установленной цены товара, если при этом выполняются в совокупности следующие условия:</w:t>
      </w:r>
    </w:p>
    <w:p>
      <w:pPr>
        <w:pStyle w:val="TextBody"/>
        <w:rPr/>
      </w:pPr>
      <w:r>
        <w:rPr/>
        <w:t>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TextBody"/>
        <w:rPr/>
      </w:pPr>
      <w:r>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TextBody"/>
        <w:rPr/>
      </w:pPr>
      <w:r>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TextBody"/>
        <w:rPr/>
      </w:pPr>
      <w:r>
        <w:rPr/>
        <w:t>2) путем поддержания или неповышения ранее установленной цены товара, если при этом выполняются в совокупности следующие условия:</w:t>
      </w:r>
    </w:p>
    <w:p>
      <w:pPr>
        <w:pStyle w:val="TextBody"/>
        <w:rPr/>
      </w:pPr>
      <w:r>
        <w:rPr/>
        <w:t>а) расходы, необходимые для производства и реализации товара, существенно возросли;</w:t>
      </w:r>
    </w:p>
    <w:p>
      <w:pPr>
        <w:pStyle w:val="TextBody"/>
        <w:rPr/>
      </w:pPr>
      <w:r>
        <w:rPr/>
        <w:t>б) состав продавцов или покупателей товара обусловливает возможность изменения цены товара в сторону увеличения;</w:t>
      </w:r>
    </w:p>
    <w:p>
      <w:pPr>
        <w:pStyle w:val="TextBody"/>
        <w:rPr/>
      </w:pPr>
      <w:r>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pPr>
        <w:pStyle w:val="TextBody"/>
        <w:numPr>
          <w:ilvl w:val="0"/>
          <w:numId w:val="14"/>
        </w:numPr>
        <w:tabs>
          <w:tab w:val="left" w:pos="0" w:leader="none"/>
        </w:tabs>
        <w:ind w:left="707" w:hanging="283"/>
        <w:rPr/>
      </w:pPr>
      <w:r>
        <w:rPr/>
        <w:t xml:space="preserve">Не признается монопольно низкой цена товара в случае, если: </w:t>
      </w:r>
    </w:p>
    <w:p>
      <w:pPr>
        <w:pStyle w:val="TextBody"/>
        <w:rPr/>
      </w:pPr>
      <w:r>
        <w:rP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pPr>
        <w:pStyle w:val="TextBody"/>
        <w:rPr/>
      </w:pPr>
      <w:r>
        <w:rPr/>
        <w:t>2) она не ниже цены, которая сформировалась в условиях конкуренции на сопоставимом товарном рынке;</w:t>
      </w:r>
    </w:p>
    <w:p>
      <w:pPr>
        <w:pStyle w:val="TextBody"/>
        <w:rPr/>
      </w:pPr>
      <w:r>
        <w:rP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pPr>
        <w:pStyle w:val="TextBody"/>
        <w:rPr/>
      </w:pPr>
      <w:r>
        <w:rPr>
          <w:rStyle w:val="StrongEmphasis"/>
        </w:rPr>
        <w:t>Статья 8. Согласованные действия хозяйствующих субъектов</w:t>
      </w:r>
    </w:p>
    <w:p>
      <w:pPr>
        <w:pStyle w:val="TextBody"/>
        <w:numPr>
          <w:ilvl w:val="0"/>
          <w:numId w:val="15"/>
        </w:numPr>
        <w:tabs>
          <w:tab w:val="left" w:pos="0" w:leader="none"/>
        </w:tabs>
        <w:ind w:left="707" w:hanging="283"/>
        <w:rPr/>
      </w:pPr>
      <w:r>
        <w:rPr/>
        <w:t xml:space="preserve">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t>
      </w:r>
    </w:p>
    <w:p>
      <w:pPr>
        <w:pStyle w:val="TextBody"/>
        <w:rPr/>
      </w:pPr>
      <w:r>
        <w:rPr/>
        <w:t>1) результат таких действий соответствует интересам каждого из указанных хозяйствующих субъектов;</w:t>
      </w:r>
    </w:p>
    <w:p>
      <w:pPr>
        <w:pStyle w:val="TextBody"/>
        <w:rPr/>
      </w:pPr>
      <w:r>
        <w:rP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pPr>
        <w:pStyle w:val="TextBody"/>
        <w:rPr/>
      </w:pPr>
      <w:r>
        <w:rP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pPr>
        <w:pStyle w:val="TextBody"/>
        <w:numPr>
          <w:ilvl w:val="0"/>
          <w:numId w:val="16"/>
        </w:numPr>
        <w:tabs>
          <w:tab w:val="left" w:pos="0" w:leader="none"/>
        </w:tabs>
        <w:ind w:left="707" w:hanging="283"/>
        <w:rPr/>
      </w:pPr>
      <w:r>
        <w:rPr/>
        <w:t xml:space="preserve">Совершение лицами, указанными в части 1 настоящей статьи, действий по соглашению не относится к согласованным действиям, а является соглашением. </w:t>
      </w:r>
    </w:p>
    <w:p>
      <w:pPr>
        <w:pStyle w:val="TextBody"/>
        <w:rPr/>
      </w:pPr>
      <w:r>
        <w:rPr>
          <w:rStyle w:val="StrongEmphasis"/>
        </w:rPr>
        <w:t>Статья 9. Группа лиц</w:t>
      </w:r>
    </w:p>
    <w:p>
      <w:pPr>
        <w:pStyle w:val="TextBody"/>
        <w:numPr>
          <w:ilvl w:val="0"/>
          <w:numId w:val="17"/>
        </w:numPr>
        <w:tabs>
          <w:tab w:val="left" w:pos="0" w:leader="none"/>
        </w:tabs>
        <w:ind w:left="707" w:hanging="283"/>
        <w:rPr/>
      </w:pPr>
      <w:r>
        <w:rPr/>
        <w:t xml:space="preserve">Группой лиц признается совокупность физических лиц и (или) юридических лиц, соответствующих одному или нескольким признакам из следующих признаков: </w:t>
      </w:r>
    </w:p>
    <w:p>
      <w:pPr>
        <w:pStyle w:val="TextBody"/>
        <w:rPr/>
      </w:pPr>
      <w:r>
        <w:rP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TextBody"/>
        <w:rPr/>
      </w:pPr>
      <w:r>
        <w:rP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pPr>
        <w:pStyle w:val="TextBody"/>
        <w:rPr/>
      </w:pPr>
      <w:r>
        <w:rP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pPr>
        <w:pStyle w:val="TextBody"/>
        <w:rPr/>
      </w:pPr>
      <w:r>
        <w:rP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pStyle w:val="TextBody"/>
        <w:rPr/>
      </w:pPr>
      <w:r>
        <w:rP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pPr>
        <w:pStyle w:val="TextBody"/>
        <w:rPr/>
      </w:pPr>
      <w:r>
        <w:rP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pPr>
        <w:pStyle w:val="TextBody"/>
        <w:rPr/>
      </w:pPr>
      <w:r>
        <w:rPr/>
        <w:t>7) физическое лицо, его супруг, родители (в том числе усыновители), дети (в том числе усыновленные), полнородные и неполнородные братья и сестры;</w:t>
      </w:r>
    </w:p>
    <w:p>
      <w:pPr>
        <w:pStyle w:val="TextBody"/>
        <w:rPr/>
      </w:pPr>
      <w:r>
        <w:rPr/>
        <w:t>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w:t>
      </w:r>
    </w:p>
    <w:p>
      <w:pPr>
        <w:pStyle w:val="TextBody"/>
        <w:rPr/>
      </w:pPr>
      <w:r>
        <w:rPr/>
        <w:t>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TextBody"/>
        <w:numPr>
          <w:ilvl w:val="0"/>
          <w:numId w:val="18"/>
        </w:numPr>
        <w:tabs>
          <w:tab w:val="left" w:pos="0" w:leader="none"/>
        </w:tabs>
        <w:ind w:left="707" w:hanging="283"/>
        <w:rPr/>
      </w:pPr>
      <w:r>
        <w:rPr/>
        <w:t xml:space="preserve">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 </w:t>
      </w:r>
    </w:p>
    <w:p>
      <w:pPr>
        <w:pStyle w:val="TextBody"/>
        <w:rPr/>
      </w:pPr>
      <w:r>
        <w:rPr>
          <w:rStyle w:val="StrongEmphasis"/>
        </w:rPr>
        <w:t>Глава 2. МОНОПОЛИСТИЧЕСКАЯ ДЕЯТЕЛЬНОСТЬ</w:t>
      </w:r>
    </w:p>
    <w:p>
      <w:pPr>
        <w:pStyle w:val="TextBody"/>
        <w:rPr/>
      </w:pPr>
      <w:r>
        <w:rPr/>
        <w:t>(в ред. Федерального закона от 05.10.2015 N 275-ФЗ)</w:t>
      </w:r>
    </w:p>
    <w:p>
      <w:pPr>
        <w:pStyle w:val="TextBody"/>
        <w:rPr/>
      </w:pPr>
      <w:r>
        <w:rPr>
          <w:rStyle w:val="StrongEmphasis"/>
        </w:rPr>
        <w:t>Статья 10. Запрет на злоупотребление хозяйствующим субъектом доминирующим положением</w:t>
      </w:r>
    </w:p>
    <w:p>
      <w:pPr>
        <w:pStyle w:val="TextBody"/>
        <w:numPr>
          <w:ilvl w:val="0"/>
          <w:numId w:val="19"/>
        </w:numPr>
        <w:tabs>
          <w:tab w:val="left" w:pos="0" w:leader="none"/>
        </w:tabs>
        <w:ind w:left="707" w:hanging="283"/>
        <w:rPr/>
      </w:pPr>
      <w:r>
        <w:rPr/>
        <w:t xml:space="preserve">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t>
      </w:r>
    </w:p>
    <w:p>
      <w:pPr>
        <w:pStyle w:val="TextBody"/>
        <w:rPr/>
      </w:pPr>
      <w:r>
        <w:rPr/>
        <w:t>1) установление, поддержание монопольно высокой или монопольно низкой цены товара;</w:t>
      </w:r>
    </w:p>
    <w:p>
      <w:pPr>
        <w:pStyle w:val="TextBody"/>
        <w:rPr/>
      </w:pPr>
      <w:r>
        <w:rPr/>
        <w:t>2) изъятие товара из обращения, если результатом такого изъятия явилось повышение цены товара;</w:t>
      </w:r>
    </w:p>
    <w:p>
      <w:pPr>
        <w:pStyle w:val="TextBody"/>
        <w:rPr/>
      </w:pPr>
      <w:r>
        <w:rP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pPr>
        <w:pStyle w:val="TextBody"/>
        <w:rPr/>
      </w:pPr>
      <w:r>
        <w:rP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pPr>
        <w:pStyle w:val="TextBody"/>
        <w:rPr/>
      </w:pPr>
      <w:r>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pPr>
        <w:pStyle w:val="TextBody"/>
        <w:rPr/>
      </w:pPr>
      <w:r>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pPr>
        <w:pStyle w:val="TextBody"/>
        <w:rPr/>
      </w:pPr>
      <w:r>
        <w:rPr/>
        <w:t>7) установление финансовой организацией необоснованно высокой или необоснованно низкой цены финансовой услуги;</w:t>
      </w:r>
    </w:p>
    <w:p>
      <w:pPr>
        <w:pStyle w:val="TextBody"/>
        <w:rPr/>
      </w:pPr>
      <w:r>
        <w:rPr/>
        <w:t>8) создание дискриминационных условий;</w:t>
      </w:r>
    </w:p>
    <w:p>
      <w:pPr>
        <w:pStyle w:val="TextBody"/>
        <w:rPr/>
      </w:pPr>
      <w:r>
        <w:rPr/>
        <w:t>9) создание препятствий доступу на товарный рынок или выходу из товарного рынка другим хозяйствующим субъектам;</w:t>
      </w:r>
    </w:p>
    <w:p>
      <w:pPr>
        <w:pStyle w:val="TextBody"/>
        <w:rPr/>
      </w:pPr>
      <w:r>
        <w:rPr/>
        <w:t>10) нарушение установленного нормативными правовыми актами порядка ценообразования;</w:t>
      </w:r>
    </w:p>
    <w:p>
      <w:pPr>
        <w:pStyle w:val="TextBody"/>
        <w:rPr/>
      </w:pPr>
      <w:r>
        <w:rPr/>
        <w:t>11) манипулирование ценами на оптовом и (или) розничных рынках электрической энергии (мощности).</w:t>
      </w:r>
    </w:p>
    <w:p>
      <w:pPr>
        <w:pStyle w:val="TextBody"/>
        <w:numPr>
          <w:ilvl w:val="0"/>
          <w:numId w:val="20"/>
        </w:numPr>
        <w:tabs>
          <w:tab w:val="left" w:pos="0" w:leader="none"/>
        </w:tabs>
        <w:spacing w:before="0" w:after="0"/>
        <w:ind w:left="707" w:hanging="283"/>
        <w:rPr/>
      </w:pPr>
      <w:r>
        <w:rPr/>
        <w:t xml:space="preserve">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пунктах 1, 2, 3, 5, 6, 7 и 10 части 1 настоящей статьи), могут быть признаны допустимыми в соответствии с требованиями части 1 статьи 13 настоящего Федерального закона. </w:t>
      </w:r>
    </w:p>
    <w:p>
      <w:pPr>
        <w:pStyle w:val="TextBody"/>
        <w:numPr>
          <w:ilvl w:val="0"/>
          <w:numId w:val="20"/>
        </w:numPr>
        <w:tabs>
          <w:tab w:val="left" w:pos="0" w:leader="none"/>
        </w:tabs>
        <w:ind w:left="707" w:hanging="283"/>
        <w:rPr/>
      </w:pPr>
      <w:r>
        <w:rPr/>
        <w:t xml:space="preserve">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 </w:t>
      </w:r>
    </w:p>
    <w:p>
      <w:pPr>
        <w:pStyle w:val="TextBody"/>
        <w:rPr/>
      </w:pPr>
      <w:r>
        <w:rPr/>
        <w:t>1) перечень товаров, объектов инфраструктуры, к которым предоставляется недискриминационный доступ;</w:t>
      </w:r>
    </w:p>
    <w:p>
      <w:pPr>
        <w:pStyle w:val="TextBody"/>
        <w:rPr/>
      </w:pPr>
      <w:r>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pPr>
        <w:pStyle w:val="TextBody"/>
        <w:rPr/>
      </w:pPr>
      <w:r>
        <w:rPr/>
        <w:t>3) порядок раскрытия информации, предусмотренной пунктом 2 настоящей части, в том числе о товарах, производимых или реализуемых хозяйствующими субъектами, указанными в абзаце первом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pPr>
        <w:pStyle w:val="TextBody"/>
        <w:rPr/>
      </w:pPr>
      <w:r>
        <w:rPr/>
        <w:t>4) порядок возмещения экономически обоснованных расходов хозяйствующих субъектов, указанных в абзаце первом настоящей части, на производство и (или) реализацию соответствующих товаров и (или) организацию доступа на товарный рынок;</w:t>
      </w:r>
    </w:p>
    <w:p>
      <w:pPr>
        <w:pStyle w:val="TextBody"/>
        <w:rPr/>
      </w:pPr>
      <w:r>
        <w:rPr/>
        <w:t>5) условия проведения конкурсных процедур доступа на товарный рынок, на котором осуществляют деятельность хозяйствующие субъекты, указанные в абзаце первом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pPr>
        <w:pStyle w:val="TextBody"/>
        <w:rPr/>
      </w:pPr>
      <w:r>
        <w:rPr/>
        <w:t>6) существенные условия договоров и (или) типовые договоры о предоставлении доступа на товарный рынок и (или) к товарам хозяйствующих субъектов, указанных в абзаце первом настоящей части;</w:t>
      </w:r>
    </w:p>
    <w:p>
      <w:pPr>
        <w:pStyle w:val="TextBody"/>
        <w:rPr/>
      </w:pPr>
      <w:r>
        <w:rPr/>
        <w:t>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абзаце первом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TextBody"/>
        <w:rPr/>
      </w:pPr>
      <w:r>
        <w:rPr/>
        <w:t>8) условия доступа на товарный рынок, и (или) к товарам, и (или) к объектам инфраструктуры хозяйствующих субъектов, указанных в абзаце первом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pPr>
        <w:pStyle w:val="TextBody"/>
        <w:rPr/>
      </w:pPr>
      <w:r>
        <w:rPr/>
        <w:t>9) требования к характеристикам соответствующего товара, если иное не предусмотрено законодательством Российской Федерации.</w:t>
      </w:r>
    </w:p>
    <w:p>
      <w:pPr>
        <w:pStyle w:val="TextBody"/>
        <w:rPr/>
      </w:pPr>
      <w:r>
        <w:rPr/>
        <w:t>(часть третья в ред. Федерального закона от 17.07.2009 N 164-ФЗ)</w:t>
      </w:r>
    </w:p>
    <w:p>
      <w:pPr>
        <w:pStyle w:val="TextBody"/>
        <w:numPr>
          <w:ilvl w:val="0"/>
          <w:numId w:val="21"/>
        </w:numPr>
        <w:tabs>
          <w:tab w:val="left" w:pos="0" w:leader="none"/>
        </w:tabs>
        <w:spacing w:before="0" w:after="0"/>
        <w:ind w:left="707" w:hanging="283"/>
        <w:rPr/>
      </w:pPr>
      <w:r>
        <w:rPr/>
        <w:t xml:space="preserve">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 </w:t>
      </w:r>
    </w:p>
    <w:p>
      <w:pPr>
        <w:pStyle w:val="TextBody"/>
        <w:numPr>
          <w:ilvl w:val="0"/>
          <w:numId w:val="21"/>
        </w:numPr>
        <w:tabs>
          <w:tab w:val="left" w:pos="0" w:leader="none"/>
        </w:tabs>
        <w:ind w:left="707" w:hanging="283"/>
        <w:rPr/>
      </w:pPr>
      <w:r>
        <w:rPr/>
        <w:t xml:space="preserve">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 </w:t>
      </w:r>
    </w:p>
    <w:p>
      <w:pPr>
        <w:pStyle w:val="TextBody"/>
        <w:rPr/>
      </w:pPr>
      <w:r>
        <w:rPr/>
        <w:t>1) перечень товаров, к которым предоставляется недискриминационный доступ;</w:t>
      </w:r>
    </w:p>
    <w:p>
      <w:pPr>
        <w:pStyle w:val="TextBody"/>
        <w:rPr/>
      </w:pPr>
      <w:r>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pPr>
        <w:pStyle w:val="TextBody"/>
        <w:rPr/>
      </w:pPr>
      <w:r>
        <w:rP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pPr>
        <w:pStyle w:val="TextBody"/>
        <w:rPr/>
      </w:pPr>
      <w:r>
        <w:rPr/>
        <w:t>4) существенные условия договоров и (или) типовые договоры о предоставлении доступа к товарам;</w:t>
      </w:r>
    </w:p>
    <w:p>
      <w:pPr>
        <w:pStyle w:val="TextBody"/>
        <w:rPr/>
      </w:pPr>
      <w:r>
        <w:rP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TextBody"/>
        <w:numPr>
          <w:ilvl w:val="0"/>
          <w:numId w:val="22"/>
        </w:numPr>
        <w:tabs>
          <w:tab w:val="left" w:pos="0" w:leader="none"/>
        </w:tabs>
        <w:spacing w:before="0" w:after="0"/>
        <w:ind w:left="707" w:hanging="283"/>
        <w:rPr/>
      </w:pPr>
      <w:r>
        <w:rPr/>
        <w:t xml:space="preserve">Предусмотренные частью 5 настоящей статьи правила могут содержать условие об обязательной продаже товара на торгах. </w:t>
      </w:r>
    </w:p>
    <w:p>
      <w:pPr>
        <w:pStyle w:val="TextBody"/>
        <w:numPr>
          <w:ilvl w:val="0"/>
          <w:numId w:val="22"/>
        </w:numPr>
        <w:tabs>
          <w:tab w:val="left" w:pos="0" w:leader="none"/>
        </w:tabs>
        <w:spacing w:before="0" w:after="0"/>
        <w:ind w:left="707" w:hanging="283"/>
        <w:rPr/>
      </w:pPr>
      <w:r>
        <w:rPr/>
        <w:t xml:space="preserve">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законом "О национальной платежной системе". </w:t>
      </w:r>
    </w:p>
    <w:p>
      <w:pPr>
        <w:pStyle w:val="TextBody"/>
        <w:numPr>
          <w:ilvl w:val="0"/>
          <w:numId w:val="22"/>
        </w:numPr>
        <w:tabs>
          <w:tab w:val="left" w:pos="0" w:leader="none"/>
        </w:tabs>
        <w:ind w:left="707" w:hanging="283"/>
        <w:rPr/>
      </w:pPr>
      <w:r>
        <w:rPr/>
        <w:t xml:space="preserve">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законом от 27 июля 2010 года N 190-ФЗ "О теплоснабжении". </w:t>
      </w:r>
    </w:p>
    <w:p>
      <w:pPr>
        <w:pStyle w:val="TextBody"/>
        <w:rPr/>
      </w:pPr>
      <w:r>
        <w:rPr>
          <w:rStyle w:val="StrongEmphasis"/>
        </w:rPr>
        <w:t>Статья 11. Запрет на ограничивающие конкуренцию соглашения хозяйствующих субъектов</w:t>
      </w:r>
    </w:p>
    <w:p>
      <w:pPr>
        <w:pStyle w:val="TextBody"/>
        <w:numPr>
          <w:ilvl w:val="0"/>
          <w:numId w:val="23"/>
        </w:numPr>
        <w:tabs>
          <w:tab w:val="left" w:pos="0" w:leader="none"/>
        </w:tabs>
        <w:ind w:left="707" w:hanging="283"/>
        <w:rPr/>
      </w:pPr>
      <w:r>
        <w:rPr/>
        <w:t xml:space="preserve">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t>
      </w:r>
    </w:p>
    <w:p>
      <w:pPr>
        <w:pStyle w:val="TextBody"/>
        <w:rPr/>
      </w:pPr>
      <w:r>
        <w:rPr/>
        <w:t>1) установлению или поддержанию цен (тарифов), скидок, надбавок (доплат) и (или) наценок;</w:t>
      </w:r>
    </w:p>
    <w:p>
      <w:pPr>
        <w:pStyle w:val="TextBody"/>
        <w:rPr/>
      </w:pPr>
      <w:r>
        <w:rPr/>
        <w:t>2) повышению, снижению или поддержанию цен на торгах;</w:t>
      </w:r>
    </w:p>
    <w:p>
      <w:pPr>
        <w:pStyle w:val="TextBody"/>
        <w:rPr/>
      </w:pPr>
      <w:r>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TextBody"/>
        <w:rPr/>
      </w:pPr>
      <w:r>
        <w:rPr/>
        <w:t>4) сокращению или прекращению производства товаров;</w:t>
      </w:r>
    </w:p>
    <w:p>
      <w:pPr>
        <w:pStyle w:val="TextBody"/>
        <w:rPr/>
      </w:pPr>
      <w:r>
        <w:rPr/>
        <w:t>5) отказу от заключения договоров с определенными продавцами или покупателями (заказчиками).</w:t>
      </w:r>
    </w:p>
    <w:p>
      <w:pPr>
        <w:pStyle w:val="TextBody"/>
        <w:numPr>
          <w:ilvl w:val="0"/>
          <w:numId w:val="24"/>
        </w:numPr>
        <w:tabs>
          <w:tab w:val="left" w:pos="0" w:leader="none"/>
        </w:tabs>
        <w:ind w:left="707" w:hanging="283"/>
        <w:rPr/>
      </w:pPr>
      <w:r>
        <w:rPr/>
        <w:t xml:space="preserve">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 </w:t>
      </w:r>
    </w:p>
    <w:p>
      <w:pPr>
        <w:pStyle w:val="TextBody"/>
        <w:rPr/>
      </w:pPr>
      <w:r>
        <w:rP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pPr>
        <w:pStyle w:val="TextBody"/>
        <w:rPr/>
      </w:pPr>
      <w:r>
        <w:rP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pPr>
        <w:pStyle w:val="TextBody"/>
        <w:numPr>
          <w:ilvl w:val="0"/>
          <w:numId w:val="25"/>
        </w:numPr>
        <w:tabs>
          <w:tab w:val="left" w:pos="0" w:leader="none"/>
        </w:tabs>
        <w:spacing w:before="0" w:after="0"/>
        <w:ind w:left="707" w:hanging="283"/>
        <w:rPr/>
      </w:pPr>
      <w:r>
        <w:rPr/>
        <w:t xml:space="preserve">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t>
      </w:r>
    </w:p>
    <w:p>
      <w:pPr>
        <w:pStyle w:val="TextBody"/>
        <w:numPr>
          <w:ilvl w:val="0"/>
          <w:numId w:val="25"/>
        </w:numPr>
        <w:tabs>
          <w:tab w:val="left" w:pos="0" w:leader="none"/>
        </w:tabs>
        <w:ind w:left="707" w:hanging="283"/>
        <w:rPr/>
      </w:pPr>
      <w:r>
        <w:rPr/>
        <w:t xml:space="preserve">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t>
      </w:r>
    </w:p>
    <w:p>
      <w:pPr>
        <w:pStyle w:val="TextBody"/>
        <w:rPr/>
      </w:pPr>
      <w:r>
        <w:rP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TextBody"/>
        <w:rPr/>
      </w:pPr>
      <w:r>
        <w:rP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pPr>
        <w:pStyle w:val="TextBody"/>
        <w:rPr/>
      </w:pPr>
      <w:r>
        <w:rPr/>
        <w:t>3) о создании другим хозяйствующим субъектам препятствий доступу на товарный рынок или выходу из товарного рынка;</w:t>
      </w:r>
    </w:p>
    <w:p>
      <w:pPr>
        <w:pStyle w:val="TextBody"/>
        <w:rPr/>
      </w:pPr>
      <w:r>
        <w:rPr/>
        <w:t>4) об установлении условий членства (участия) в профессиональных и иных объединениях.</w:t>
      </w:r>
    </w:p>
    <w:p>
      <w:pPr>
        <w:pStyle w:val="TextBody"/>
        <w:numPr>
          <w:ilvl w:val="0"/>
          <w:numId w:val="26"/>
        </w:numPr>
        <w:tabs>
          <w:tab w:val="left" w:pos="0" w:leader="none"/>
        </w:tabs>
        <w:spacing w:before="0" w:after="0"/>
        <w:ind w:left="707" w:hanging="283"/>
        <w:rPr/>
      </w:pPr>
      <w:r>
        <w:rPr/>
        <w:t xml:space="preserve">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t>
      </w:r>
    </w:p>
    <w:p>
      <w:pPr>
        <w:pStyle w:val="TextBody"/>
        <w:numPr>
          <w:ilvl w:val="0"/>
          <w:numId w:val="26"/>
        </w:numPr>
        <w:tabs>
          <w:tab w:val="left" w:pos="0" w:leader="none"/>
        </w:tabs>
        <w:spacing w:before="0" w:after="0"/>
        <w:ind w:left="707" w:hanging="283"/>
        <w:rPr/>
      </w:pPr>
      <w:r>
        <w:rPr/>
        <w:t xml:space="preserve">Хозяйствующий субъект вправе представить доказательства того, что заключенные им соглашения, предусмотренные частями 2 - 4 настоящей статьи, могут быть признаны допустимыми в соответствии со статьей 12 или с частью 1 статьи 13 настоящего Федерального закона. </w:t>
      </w:r>
    </w:p>
    <w:p>
      <w:pPr>
        <w:pStyle w:val="TextBody"/>
        <w:numPr>
          <w:ilvl w:val="0"/>
          <w:numId w:val="26"/>
        </w:numPr>
        <w:tabs>
          <w:tab w:val="left" w:pos="0" w:leader="none"/>
        </w:tabs>
        <w:spacing w:before="0" w:after="0"/>
        <w:ind w:left="707" w:hanging="283"/>
        <w:rPr/>
      </w:pPr>
      <w:r>
        <w:rPr/>
        <w:t xml:space="preserve">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w:t>
      </w:r>
    </w:p>
    <w:p>
      <w:pPr>
        <w:pStyle w:val="TextBody"/>
        <w:numPr>
          <w:ilvl w:val="0"/>
          <w:numId w:val="26"/>
        </w:numPr>
        <w:tabs>
          <w:tab w:val="left" w:pos="0" w:leader="none"/>
        </w:tabs>
        <w:ind w:left="707" w:hanging="283"/>
        <w:rPr/>
      </w:pPr>
      <w:r>
        <w:rPr/>
        <w:t xml:space="preserve">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 </w:t>
      </w:r>
    </w:p>
    <w:p>
      <w:pPr>
        <w:pStyle w:val="TextBody"/>
        <w:rPr/>
      </w:pPr>
      <w:r>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pPr>
        <w:pStyle w:val="TextBody"/>
        <w:rPr/>
      </w:pPr>
      <w:r>
        <w:rPr/>
        <w:t>2) осуществление функций исполнительного органа юридического лица.</w:t>
      </w:r>
    </w:p>
    <w:p>
      <w:pPr>
        <w:pStyle w:val="TextBody"/>
        <w:numPr>
          <w:ilvl w:val="0"/>
          <w:numId w:val="27"/>
        </w:numPr>
        <w:tabs>
          <w:tab w:val="left" w:pos="0" w:leader="none"/>
        </w:tabs>
        <w:spacing w:before="0" w:after="0"/>
        <w:ind w:left="707" w:hanging="283"/>
        <w:rPr/>
      </w:pPr>
      <w:r>
        <w:rPr/>
        <w:t xml:space="preserve">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 </w:t>
      </w:r>
    </w:p>
    <w:p>
      <w:pPr>
        <w:pStyle w:val="TextBody"/>
        <w:numPr>
          <w:ilvl w:val="0"/>
          <w:numId w:val="27"/>
        </w:numPr>
        <w:tabs>
          <w:tab w:val="left" w:pos="0" w:leader="none"/>
        </w:tabs>
        <w:ind w:left="707" w:hanging="283"/>
        <w:rPr/>
      </w:pPr>
      <w:r>
        <w:rPr/>
        <w:t xml:space="preserve">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главой 7 настоящего Федерального закона. </w:t>
      </w:r>
    </w:p>
    <w:p>
      <w:pPr>
        <w:pStyle w:val="TextBody"/>
        <w:rPr/>
      </w:pPr>
      <w:r>
        <w:rPr>
          <w:rStyle w:val="StrongEmphasis"/>
        </w:rPr>
        <w:t>Статья 11.1. Запрет на согласованные действия хозяйствующих субъектов, ограничивающие конкуренцию</w:t>
      </w:r>
    </w:p>
    <w:p>
      <w:pPr>
        <w:pStyle w:val="TextBody"/>
        <w:numPr>
          <w:ilvl w:val="0"/>
          <w:numId w:val="28"/>
        </w:numPr>
        <w:tabs>
          <w:tab w:val="left" w:pos="0" w:leader="none"/>
        </w:tabs>
        <w:ind w:left="707" w:hanging="283"/>
        <w:rPr/>
      </w:pPr>
      <w:r>
        <w:rPr/>
        <w:t xml:space="preserve">Запрещаются согласованные действия хозяйствующих субъектов-конкурентов, если такие согласованные действия приводят к: </w:t>
      </w:r>
    </w:p>
    <w:p>
      <w:pPr>
        <w:pStyle w:val="TextBody"/>
        <w:rPr/>
      </w:pPr>
      <w:r>
        <w:rPr/>
        <w:t>1) установлению или поддержанию цен (тарифов), скидок, надбавок (доплат) и (или) наценок;</w:t>
      </w:r>
    </w:p>
    <w:p>
      <w:pPr>
        <w:pStyle w:val="TextBody"/>
        <w:rPr/>
      </w:pPr>
      <w:r>
        <w:rPr/>
        <w:t>2) повышению, снижению или поддержанию цен на торгах;</w:t>
      </w:r>
    </w:p>
    <w:p>
      <w:pPr>
        <w:pStyle w:val="TextBody"/>
        <w:rPr/>
      </w:pPr>
      <w:r>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TextBody"/>
        <w:rPr/>
      </w:pPr>
      <w:r>
        <w:rPr/>
        <w:t>4) сокращению или прекращению производства товаров;</w:t>
      </w:r>
    </w:p>
    <w:p>
      <w:pPr>
        <w:pStyle w:val="TextBody"/>
        <w:rPr/>
      </w:pPr>
      <w:r>
        <w:rP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pPr>
        <w:pStyle w:val="TextBody"/>
        <w:numPr>
          <w:ilvl w:val="0"/>
          <w:numId w:val="29"/>
        </w:numPr>
        <w:tabs>
          <w:tab w:val="left" w:pos="0" w:leader="none"/>
        </w:tabs>
        <w:spacing w:before="0" w:after="0"/>
        <w:ind w:left="707" w:hanging="283"/>
        <w:rPr/>
      </w:pPr>
      <w:r>
        <w:rPr/>
        <w:t xml:space="preserve">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t>
      </w:r>
    </w:p>
    <w:p>
      <w:pPr>
        <w:pStyle w:val="TextBody"/>
        <w:numPr>
          <w:ilvl w:val="0"/>
          <w:numId w:val="29"/>
        </w:numPr>
        <w:tabs>
          <w:tab w:val="left" w:pos="0" w:leader="none"/>
        </w:tabs>
        <w:ind w:left="707" w:hanging="283"/>
        <w:rPr/>
      </w:pPr>
      <w:r>
        <w:rPr/>
        <w:t xml:space="preserve">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t>
      </w:r>
    </w:p>
    <w:p>
      <w:pPr>
        <w:pStyle w:val="TextBody"/>
        <w:rPr/>
      </w:pPr>
      <w:r>
        <w:rP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TextBody"/>
        <w:rPr/>
      </w:pPr>
      <w:r>
        <w:rP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pPr>
        <w:pStyle w:val="TextBody"/>
        <w:rPr/>
      </w:pPr>
      <w:r>
        <w:rPr/>
        <w:t>3) созданию другим хозяйствующим субъектам препятствий доступу на товарный рынок или выходу из товарного рынка.</w:t>
      </w:r>
    </w:p>
    <w:p>
      <w:pPr>
        <w:pStyle w:val="TextBody"/>
        <w:numPr>
          <w:ilvl w:val="0"/>
          <w:numId w:val="30"/>
        </w:numPr>
        <w:tabs>
          <w:tab w:val="left" w:pos="0" w:leader="none"/>
        </w:tabs>
        <w:spacing w:before="0" w:after="0"/>
        <w:ind w:left="707" w:hanging="283"/>
        <w:rPr/>
      </w:pPr>
      <w:r>
        <w:rPr/>
        <w:t xml:space="preserve">Хозяйствующий субъект вправе представить доказательства того, что осуществленные им согласованные действия, предусмотренные частями 1 - 3 настоящей статьи, могут быть признаны допустимыми в соответствии с частью 1 статьи 13 настоящего Федерального закона. </w:t>
      </w:r>
    </w:p>
    <w:p>
      <w:pPr>
        <w:pStyle w:val="TextBody"/>
        <w:numPr>
          <w:ilvl w:val="0"/>
          <w:numId w:val="30"/>
        </w:numPr>
        <w:tabs>
          <w:tab w:val="left" w:pos="0" w:leader="none"/>
        </w:tabs>
        <w:spacing w:before="0" w:after="0"/>
        <w:ind w:left="707" w:hanging="283"/>
        <w:rPr/>
      </w:pPr>
      <w:r>
        <w:rPr/>
        <w:t xml:space="preserve">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 </w:t>
      </w:r>
    </w:p>
    <w:p>
      <w:pPr>
        <w:pStyle w:val="TextBody"/>
        <w:numPr>
          <w:ilvl w:val="0"/>
          <w:numId w:val="30"/>
        </w:numPr>
        <w:tabs>
          <w:tab w:val="left" w:pos="0" w:leader="none"/>
        </w:tabs>
        <w:ind w:left="707" w:hanging="283"/>
        <w:rPr/>
      </w:pPr>
      <w:r>
        <w:rPr/>
        <w:t xml:space="preserve">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 </w:t>
      </w:r>
    </w:p>
    <w:p>
      <w:pPr>
        <w:pStyle w:val="TextBody"/>
        <w:rPr/>
      </w:pPr>
      <w:r>
        <w:rPr>
          <w:rStyle w:val="StrongEmphasis"/>
        </w:rPr>
        <w:t>Статья 12. Допустимость соглашений</w:t>
      </w:r>
    </w:p>
    <w:p>
      <w:pPr>
        <w:pStyle w:val="TextBody"/>
        <w:numPr>
          <w:ilvl w:val="0"/>
          <w:numId w:val="31"/>
        </w:numPr>
        <w:tabs>
          <w:tab w:val="left" w:pos="0" w:leader="none"/>
        </w:tabs>
        <w:spacing w:before="0" w:after="0"/>
        <w:ind w:left="707" w:hanging="283"/>
        <w:rPr/>
      </w:pPr>
      <w:r>
        <w:rPr/>
        <w:t xml:space="preserve">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 </w:t>
      </w:r>
    </w:p>
    <w:p>
      <w:pPr>
        <w:pStyle w:val="TextBody"/>
        <w:numPr>
          <w:ilvl w:val="0"/>
          <w:numId w:val="31"/>
        </w:numPr>
        <w:tabs>
          <w:tab w:val="left" w:pos="0" w:leader="none"/>
        </w:tabs>
        <w:ind w:left="707" w:hanging="283"/>
        <w:rPr/>
      </w:pPr>
      <w:r>
        <w:rPr/>
        <w:t xml:space="preserve">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 </w:t>
      </w:r>
    </w:p>
    <w:p>
      <w:pPr>
        <w:pStyle w:val="TextBody"/>
        <w:rPr/>
      </w:pPr>
      <w:r>
        <w:rPr/>
        <w:t>(в ред. Федерального закона от 05.10.2015 N 275-ФЗ)</w:t>
      </w:r>
    </w:p>
    <w:p>
      <w:pPr>
        <w:pStyle w:val="TextBody"/>
        <w:numPr>
          <w:ilvl w:val="0"/>
          <w:numId w:val="32"/>
        </w:numPr>
        <w:tabs>
          <w:tab w:val="left" w:pos="0" w:leader="none"/>
        </w:tabs>
        <w:ind w:left="707" w:hanging="283"/>
        <w:rPr/>
      </w:pPr>
      <w:r>
        <w:rPr/>
        <w:t xml:space="preserve">Допускаются соглашения, предусмотренные частью 4 статьи 11 настоящего Федерального закона, между хозяйствующими субъектами, доминирующее положение которых не может быть признано в соответствии с частями 2.1 и 2.2 статьи 5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 </w:t>
      </w:r>
    </w:p>
    <w:p>
      <w:pPr>
        <w:pStyle w:val="TextBody"/>
        <w:rPr/>
      </w:pPr>
      <w:r>
        <w:rPr>
          <w:rStyle w:val="StrongEmphasis"/>
        </w:rPr>
        <w:t>Статья 13. Допустимость действий (бездействия), соглашений, согласованных действий, сделок, иных действий</w:t>
      </w:r>
    </w:p>
    <w:p>
      <w:pPr>
        <w:pStyle w:val="TextBody"/>
        <w:numPr>
          <w:ilvl w:val="0"/>
          <w:numId w:val="33"/>
        </w:numPr>
        <w:tabs>
          <w:tab w:val="left" w:pos="0" w:leader="none"/>
        </w:tabs>
        <w:ind w:left="707" w:hanging="283"/>
        <w:rPr/>
      </w:pPr>
      <w:r>
        <w:rPr/>
        <w:t xml:space="preserve">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соглашения и согласованные действия, предусмотренные частями 2 - 4 статьи 11, статьей 11.1 настоящего Федерального закона, сделки, иные действия, предусмотренные статьями 27 - 29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 </w:t>
      </w:r>
    </w:p>
    <w:p>
      <w:pPr>
        <w:pStyle w:val="TextBody"/>
        <w:rPr/>
      </w:pPr>
      <w:r>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pPr>
        <w:pStyle w:val="TextBody"/>
        <w:rPr/>
      </w:pPr>
      <w:r>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pPr>
        <w:pStyle w:val="TextBody"/>
        <w:numPr>
          <w:ilvl w:val="0"/>
          <w:numId w:val="34"/>
        </w:numPr>
        <w:tabs>
          <w:tab w:val="left" w:pos="0" w:leader="none"/>
        </w:tabs>
        <w:ind w:left="707" w:hanging="283"/>
        <w:rPr/>
      </w:pPr>
      <w:r>
        <w:rPr/>
        <w:t xml:space="preserve">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и согласованных действий, указанных в частях 2 - 4 статьи 11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t>
      </w:r>
    </w:p>
    <w:p>
      <w:pPr>
        <w:pStyle w:val="TextBody"/>
        <w:rPr/>
      </w:pPr>
      <w:r>
        <w:rPr/>
        <w:t>1) вид соглашения;</w:t>
      </w:r>
    </w:p>
    <w:p>
      <w:pPr>
        <w:pStyle w:val="TextBody"/>
        <w:rPr/>
      </w:pPr>
      <w:r>
        <w:rPr/>
        <w:t>2) условия, которые не могут рассматриваться как допустимые в отношении таких соглашений;</w:t>
      </w:r>
    </w:p>
    <w:p>
      <w:pPr>
        <w:pStyle w:val="TextBody"/>
        <w:rPr/>
      </w:pPr>
      <w:r>
        <w:rPr/>
        <w:t>3) обязательные условия для обеспечения конкуренции, которые должны содержаться в таких соглашениях;</w:t>
      </w:r>
    </w:p>
    <w:p>
      <w:pPr>
        <w:pStyle w:val="TextBody"/>
        <w:numPr>
          <w:ilvl w:val="0"/>
          <w:numId w:val="35"/>
        </w:numPr>
        <w:tabs>
          <w:tab w:val="left" w:pos="0" w:leader="none"/>
        </w:tabs>
        <w:ind w:left="707" w:hanging="283"/>
        <w:rPr/>
      </w:pPr>
      <w:r>
        <w:rPr/>
        <w:t xml:space="preserve">Общими исключениями могут предусматриваться наряду с указанными в части 2 настоящей статьи условиями иные условия, которым должны соответствовать соглашения. </w:t>
      </w:r>
    </w:p>
    <w:p>
      <w:pPr>
        <w:pStyle w:val="TextBody"/>
        <w:rPr/>
      </w:pPr>
      <w:r>
        <w:rPr>
          <w:rStyle w:val="StrongEmphasis"/>
        </w:rPr>
        <w:t>Статья 14. Утратила силу.</w:t>
      </w:r>
    </w:p>
    <w:p>
      <w:pPr>
        <w:pStyle w:val="TextBody"/>
        <w:rPr/>
      </w:pPr>
      <w:r>
        <w:rPr>
          <w:rStyle w:val="StrongEmphasis"/>
        </w:rPr>
        <w:t>Глава 2.1. НЕДОБРОСОВЕСТНАЯ КОНКУРЕНЦИЯ</w:t>
      </w:r>
    </w:p>
    <w:p>
      <w:pPr>
        <w:pStyle w:val="TextBody"/>
        <w:rPr/>
      </w:pPr>
      <w:r>
        <w:rPr>
          <w:rStyle w:val="StrongEmphasis"/>
        </w:rPr>
        <w:t>Статья 14.1. Запрет на недобросовестную конкуренцию путем дискредитации</w:t>
      </w:r>
    </w:p>
    <w:p>
      <w:pPr>
        <w:pStyle w:val="TextBody"/>
        <w:rPr/>
      </w:pPr>
      <w:r>
        <w:rPr/>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pPr>
        <w:pStyle w:val="TextBody"/>
        <w:rPr/>
      </w:pPr>
      <w:r>
        <w:rP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TextBody"/>
        <w:rPr/>
      </w:pPr>
      <w:r>
        <w:rP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pPr>
        <w:pStyle w:val="TextBody"/>
        <w:rPr/>
      </w:pPr>
      <w:r>
        <w:rPr/>
        <w:t>3) условий, на которых предлагается к продаже товар другим хозяйствующим субъектом-конкурентом, в частности цены товара.</w:t>
      </w:r>
    </w:p>
    <w:p>
      <w:pPr>
        <w:pStyle w:val="TextBody"/>
        <w:rPr/>
      </w:pPr>
      <w:r>
        <w:rPr>
          <w:rStyle w:val="StrongEmphasis"/>
        </w:rPr>
        <w:t>Статья 14.2. Запрет на недобросовестную конкуренцию путем введения в заблуждение</w:t>
      </w:r>
    </w:p>
    <w:p>
      <w:pPr>
        <w:pStyle w:val="TextBody"/>
        <w:rPr/>
      </w:pPr>
      <w:r>
        <w:rPr/>
        <w:t>Не допускается недобросовестная конкуренция путем введения в заблуждение, в том числе в отношении:</w:t>
      </w:r>
    </w:p>
    <w:p>
      <w:pPr>
        <w:pStyle w:val="TextBody"/>
        <w:rPr/>
      </w:pPr>
      <w:r>
        <w:rP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TextBody"/>
        <w:rPr/>
      </w:pPr>
      <w:r>
        <w:rP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pPr>
        <w:pStyle w:val="TextBody"/>
        <w:rPr/>
      </w:pPr>
      <w:r>
        <w:rPr/>
        <w:t>3) места производства товара, предлагаемого к продаже, изготовителя такого товара, гарантийных обязательств продавца или изготовителя;</w:t>
      </w:r>
    </w:p>
    <w:p>
      <w:pPr>
        <w:pStyle w:val="TextBody"/>
        <w:rPr/>
      </w:pPr>
      <w:r>
        <w:rPr/>
        <w:t>4) условий, на которых товар предлагается к продаже, в частности цены такого товара.</w:t>
      </w:r>
    </w:p>
    <w:p>
      <w:pPr>
        <w:pStyle w:val="TextBody"/>
        <w:rPr/>
      </w:pPr>
      <w:r>
        <w:rPr>
          <w:rStyle w:val="StrongEmphasis"/>
        </w:rPr>
        <w:t>Статья 14.3. Запрет на недобросовестную конкуренцию путем некорректного сравнения</w:t>
      </w:r>
    </w:p>
    <w:p>
      <w:pPr>
        <w:pStyle w:val="TextBody"/>
        <w:rPr/>
      </w:pPr>
      <w:r>
        <w:rP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pPr>
        <w:pStyle w:val="TextBody"/>
        <w:rPr/>
      </w:pPr>
      <w:r>
        <w:rP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pPr>
        <w:pStyle w:val="TextBody"/>
        <w:rPr/>
      </w:pPr>
      <w:r>
        <w:rP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pPr>
        <w:pStyle w:val="TextBody"/>
        <w:rPr/>
      </w:pPr>
      <w:r>
        <w:rP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pPr>
        <w:pStyle w:val="TextBody"/>
        <w:rPr/>
      </w:pPr>
      <w:r>
        <w:rPr>
          <w:rStyle w:val="StrongEmphasis"/>
        </w:rP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pPr>
        <w:pStyle w:val="TextBody"/>
        <w:numPr>
          <w:ilvl w:val="0"/>
          <w:numId w:val="36"/>
        </w:numPr>
        <w:tabs>
          <w:tab w:val="left" w:pos="0" w:leader="none"/>
        </w:tabs>
        <w:spacing w:before="0" w:after="0"/>
        <w:ind w:left="707" w:hanging="283"/>
        <w:rPr/>
      </w:pPr>
      <w:r>
        <w:rPr/>
        <w:t xml:space="preserve">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t>
      </w:r>
    </w:p>
    <w:p>
      <w:pPr>
        <w:pStyle w:val="TextBody"/>
        <w:numPr>
          <w:ilvl w:val="0"/>
          <w:numId w:val="36"/>
        </w:numPr>
        <w:tabs>
          <w:tab w:val="left" w:pos="0" w:leader="none"/>
        </w:tabs>
        <w:ind w:left="707" w:hanging="283"/>
        <w:rPr/>
      </w:pPr>
      <w:r>
        <w:rPr/>
        <w:t xml:space="preserve">Решение антимонопольного органа о нарушении положений части 1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 </w:t>
      </w:r>
    </w:p>
    <w:p>
      <w:pPr>
        <w:pStyle w:val="TextBody"/>
        <w:rPr/>
      </w:pPr>
      <w:r>
        <w:rPr>
          <w:rStyle w:val="StrongEmphasis"/>
        </w:rPr>
        <w:t>Статья 14.5. Запрет на недобросовестную конкуренцию, связанную с использованием результатов интеллектуальной деятельности</w:t>
      </w:r>
    </w:p>
    <w:p>
      <w:pPr>
        <w:pStyle w:val="TextBody"/>
        <w:rPr/>
      </w:pPr>
      <w:r>
        <w:rP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pPr>
        <w:pStyle w:val="TextBody"/>
        <w:rPr/>
      </w:pPr>
      <w:r>
        <w:rPr>
          <w:rStyle w:val="StrongEmphasis"/>
        </w:rPr>
        <w:t>Статья 14.6. Запрет на недобросовестную конкуренцию, связанную с созданием смешения</w:t>
      </w:r>
    </w:p>
    <w:p>
      <w:pPr>
        <w:pStyle w:val="TextBody"/>
        <w:rPr/>
      </w:pPr>
      <w:r>
        <w:rP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pPr>
        <w:pStyle w:val="TextBody"/>
        <w:rPr/>
      </w:pPr>
      <w:r>
        <w:rP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pPr>
        <w:pStyle w:val="TextBody"/>
        <w:rPr/>
      </w:pPr>
      <w:r>
        <w:rP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pPr>
        <w:pStyle w:val="TextBody"/>
        <w:rPr/>
      </w:pPr>
      <w:r>
        <w:rPr>
          <w:rStyle w:val="StrongEmphasis"/>
        </w:rP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pPr>
        <w:pStyle w:val="TextBody"/>
        <w:rPr/>
      </w:pPr>
      <w:r>
        <w:rP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pPr>
        <w:pStyle w:val="TextBody"/>
        <w:rPr/>
      </w:pPr>
      <w:r>
        <w:rP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pPr>
        <w:pStyle w:val="TextBody"/>
        <w:rPr/>
      </w:pPr>
      <w:r>
        <w:rP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pPr>
        <w:pStyle w:val="TextBody"/>
        <w:rPr/>
      </w:pPr>
      <w:r>
        <w:rP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pPr>
        <w:pStyle w:val="TextBody"/>
        <w:rPr/>
      </w:pPr>
      <w:r>
        <w:rPr>
          <w:rStyle w:val="StrongEmphasis"/>
        </w:rPr>
        <w:t>Статья 14.8. Запрет на иные формы недобросовестной конкуренции</w:t>
      </w:r>
    </w:p>
    <w:p>
      <w:pPr>
        <w:pStyle w:val="TextBody"/>
        <w:rPr/>
      </w:pPr>
      <w:r>
        <w:rPr/>
        <w:t>Не допускаются иные формы недобросовестной конкуренции наряду с предусмотренными статьями 14.1 - 14.7 настоящего Федерального закона.</w:t>
      </w:r>
    </w:p>
    <w:p>
      <w:pPr>
        <w:pStyle w:val="TextBody"/>
        <w:rPr/>
      </w:pPr>
      <w:r>
        <w:rPr>
          <w:rStyle w:val="StrongEmphasis"/>
        </w:rPr>
        <w:t>Глава 3. ЗАПРЕТ НА ОГРАНИЧИВАЮЩИЕ КОНКУРЕНЦИЮ АКТЫ,</w:t>
      </w:r>
    </w:p>
    <w:p>
      <w:pPr>
        <w:pStyle w:val="TextBody"/>
        <w:rPr/>
      </w:pPr>
      <w:r>
        <w:rPr>
          <w:rStyle w:val="StrongEmphasis"/>
        </w:rPr>
        <w:t>ДЕЙСТВИЯ (БЕЗДЕЙСТВИЕ), СОГЛАШЕНИЯ, СОГЛАСОВАННЫЕ ДЕЙСТВИЯ</w:t>
      </w:r>
    </w:p>
    <w:p>
      <w:pPr>
        <w:pStyle w:val="TextBody"/>
        <w:rPr/>
      </w:pPr>
      <w:r>
        <w:rPr>
          <w:rStyle w:val="StrongEmphasis"/>
        </w:rPr>
        <w:t>ФЕДЕРАЛЬНЫХ ОРГАНОВ ИСПОЛНИТЕЛЬНОЙ ВЛАСТИ, ОРГАНОВ</w:t>
      </w:r>
    </w:p>
    <w:p>
      <w:pPr>
        <w:pStyle w:val="TextBody"/>
        <w:rPr/>
      </w:pPr>
      <w:r>
        <w:rPr>
          <w:rStyle w:val="StrongEmphasis"/>
        </w:rPr>
        <w:t>ГОСУДАРСТВЕННОЙ ВЛАСТИ СУБЪЕКТОВ РОССИЙСКОЙ ФЕДЕРАЦИИ,</w:t>
      </w:r>
    </w:p>
    <w:p>
      <w:pPr>
        <w:pStyle w:val="TextBody"/>
        <w:rPr/>
      </w:pPr>
      <w:r>
        <w:rPr>
          <w:rStyle w:val="StrongEmphasis"/>
        </w:rPr>
        <w:t>ОРГАНОВ МЕСТНОГО САМОУПРАВЛЕНИЯ, ИНЫХ ОСУЩЕСТВЛЯЮЩИХ</w:t>
      </w:r>
    </w:p>
    <w:p>
      <w:pPr>
        <w:pStyle w:val="TextBody"/>
        <w:rPr/>
      </w:pPr>
      <w:r>
        <w:rPr>
          <w:rStyle w:val="StrongEmphasis"/>
        </w:rPr>
        <w:t>ФУНКЦИИ УКАЗАННЫХ ОРГАНОВ ОРГАНОВ ИЛИ ОРГАНИЗАЦИЙ,</w:t>
      </w:r>
    </w:p>
    <w:p>
      <w:pPr>
        <w:pStyle w:val="TextBody"/>
        <w:rPr/>
      </w:pPr>
      <w:r>
        <w:rPr>
          <w:rStyle w:val="StrongEmphasis"/>
        </w:rPr>
        <w:t>ОРГАНИЗАЦИЙ, УЧАСТВУЮЩИХ В ПРЕДОСТАВЛЕНИИ ГОСУДАРСТВЕННЫХ</w:t>
      </w:r>
    </w:p>
    <w:p>
      <w:pPr>
        <w:pStyle w:val="TextBody"/>
        <w:rPr/>
      </w:pPr>
      <w:r>
        <w:rPr>
          <w:rStyle w:val="StrongEmphasis"/>
        </w:rPr>
        <w:t>ИЛИ МУНИЦИПАЛЬНЫХ УСЛУГ, А ТАКЖЕ ГОСУДАРСТВЕННЫХ</w:t>
      </w:r>
    </w:p>
    <w:p>
      <w:pPr>
        <w:pStyle w:val="TextBody"/>
        <w:rPr/>
      </w:pPr>
      <w:r>
        <w:rPr>
          <w:rStyle w:val="StrongEmphasis"/>
        </w:rPr>
        <w:t>ВНЕБЮДЖЕТНЫХ ФОНДОВ, ЦЕНТРАЛЬНОГО БАНКА</w:t>
      </w:r>
    </w:p>
    <w:p>
      <w:pPr>
        <w:pStyle w:val="TextBody"/>
        <w:rPr/>
      </w:pPr>
      <w:r>
        <w:rPr>
          <w:rStyle w:val="StrongEmphasis"/>
        </w:rPr>
        <w:t>РОССИЙСКОЙ ФЕДЕРАЦИИ</w:t>
      </w:r>
    </w:p>
    <w:p>
      <w:pPr>
        <w:pStyle w:val="TextBody"/>
        <w:rPr/>
      </w:pPr>
      <w:r>
        <w:rPr>
          <w:rStyle w:val="StrongEmphasis"/>
        </w:rP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pPr>
        <w:pStyle w:val="TextBody"/>
        <w:numPr>
          <w:ilvl w:val="0"/>
          <w:numId w:val="37"/>
        </w:numPr>
        <w:tabs>
          <w:tab w:val="left" w:pos="0" w:leader="none"/>
        </w:tabs>
        <w:ind w:left="707" w:hanging="283"/>
        <w:rPr/>
      </w:pPr>
      <w:r>
        <w:rPr/>
        <w:t xml:space="preserve">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 </w:t>
      </w:r>
    </w:p>
    <w:p>
      <w:pPr>
        <w:pStyle w:val="TextBody"/>
        <w:rPr/>
      </w:pPr>
      <w:r>
        <w:rP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pPr>
        <w:pStyle w:val="TextBody"/>
        <w:rPr/>
      </w:pPr>
      <w:r>
        <w:rP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pPr>
        <w:pStyle w:val="TextBody"/>
        <w:rPr/>
      </w:pPr>
      <w:r>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pPr>
        <w:pStyle w:val="TextBody"/>
        <w:rPr/>
      </w:pPr>
      <w:r>
        <w:rP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pPr>
        <w:pStyle w:val="TextBody"/>
        <w:rPr/>
      </w:pPr>
      <w:r>
        <w:rPr/>
        <w:t>5) установление для приобретателей товаров ограничений выбора хозяйствующих субъектов, которые предоставляют такие товары;</w:t>
      </w:r>
    </w:p>
    <w:p>
      <w:pPr>
        <w:pStyle w:val="TextBody"/>
        <w:rPr/>
      </w:pPr>
      <w:r>
        <w:rPr/>
        <w:t>6) предоставление хозяйствующему субъекту доступа к информации в приоритетном порядке;</w:t>
      </w:r>
    </w:p>
    <w:p>
      <w:pPr>
        <w:pStyle w:val="TextBody"/>
        <w:rPr/>
      </w:pPr>
      <w:r>
        <w:rPr/>
        <w:t>7) предоставление государственной или муниципальной преференции в нарушение требований, установленных главой 5 настоящего Федерального закона;</w:t>
      </w:r>
    </w:p>
    <w:p>
      <w:pPr>
        <w:pStyle w:val="TextBody"/>
        <w:rPr/>
      </w:pPr>
      <w:r>
        <w:rPr/>
        <w:t>8) создание дискриминационных условий;</w:t>
      </w:r>
    </w:p>
    <w:p>
      <w:pPr>
        <w:pStyle w:val="TextBody"/>
        <w:rPr/>
      </w:pPr>
      <w:r>
        <w:rP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pPr>
        <w:pStyle w:val="TextBody"/>
        <w:rPr/>
      </w:pPr>
      <w:r>
        <w:rP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pPr>
        <w:pStyle w:val="TextBody"/>
        <w:numPr>
          <w:ilvl w:val="0"/>
          <w:numId w:val="38"/>
        </w:numPr>
        <w:tabs>
          <w:tab w:val="left" w:pos="0" w:leader="none"/>
        </w:tabs>
        <w:spacing w:before="0" w:after="0"/>
        <w:ind w:left="707" w:hanging="283"/>
        <w:rPr/>
      </w:pPr>
      <w:r>
        <w:rPr/>
        <w:t xml:space="preserve">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 </w:t>
      </w:r>
    </w:p>
    <w:p>
      <w:pPr>
        <w:pStyle w:val="TextBody"/>
        <w:numPr>
          <w:ilvl w:val="0"/>
          <w:numId w:val="38"/>
        </w:numPr>
        <w:tabs>
          <w:tab w:val="left" w:pos="0" w:leader="none"/>
        </w:tabs>
        <w:ind w:left="707" w:hanging="283"/>
        <w:rPr/>
      </w:pPr>
      <w:r>
        <w:rPr/>
        <w:t xml:space="preserve">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законом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законом от 1 декабря 2007 года N 317-ФЗ "О Государственной корпорации по атомной энергии "Росатом" и Федеральным законом "О Государственной корпорации по космической деятельности "Роскосмос". </w:t>
      </w:r>
    </w:p>
    <w:p>
      <w:pPr>
        <w:pStyle w:val="TextBody"/>
        <w:rPr/>
      </w:pPr>
      <w:r>
        <w:rPr>
          <w:rStyle w:val="StrongEmphasis"/>
        </w:rP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TextBody"/>
        <w:rPr/>
      </w:pPr>
      <w:r>
        <w:rP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pPr>
        <w:pStyle w:val="TextBody"/>
        <w:rPr/>
      </w:pPr>
      <w:r>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pPr>
        <w:pStyle w:val="TextBody"/>
        <w:rPr/>
      </w:pPr>
      <w:r>
        <w:rPr/>
        <w:t>2) экономически, технологически и иным образом не обоснованному установлению различных цен (тарифов) на один и тот же товар;</w:t>
      </w:r>
    </w:p>
    <w:p>
      <w:pPr>
        <w:pStyle w:val="TextBody"/>
        <w:rPr/>
      </w:pPr>
      <w:r>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pPr>
        <w:pStyle w:val="TextBody"/>
        <w:rPr/>
      </w:pPr>
      <w:r>
        <w:rPr/>
        <w:t>4) ограничению доступа на товарный рынок, выхода из товарного рынка или устранению с него хозяйствующих субъектов.</w:t>
      </w:r>
    </w:p>
    <w:p>
      <w:pPr>
        <w:pStyle w:val="TextBody"/>
        <w:rPr/>
      </w:pPr>
      <w:r>
        <w:rPr>
          <w:rStyle w:val="StrongEmphasis"/>
        </w:rPr>
        <w:t>Глава 4. АНТИМОНОПОЛЬНЫЕ ТРЕБОВАНИЯ К ТОРГАМ, ЗАПРОСУ</w:t>
      </w:r>
    </w:p>
    <w:p>
      <w:pPr>
        <w:pStyle w:val="TextBody"/>
        <w:rPr/>
      </w:pPr>
      <w:r>
        <w:rPr>
          <w:rStyle w:val="StrongEmphasis"/>
        </w:rPr>
        <w:t>КОТИРОВОК ЦЕН НА ТОВАРЫ, ЗАПРОСУ ПРЕДЛОЖЕНИЙ, ОСОБЕННОСТИ</w:t>
      </w:r>
    </w:p>
    <w:p>
      <w:pPr>
        <w:pStyle w:val="TextBody"/>
        <w:rPr/>
      </w:pPr>
      <w:r>
        <w:rPr>
          <w:rStyle w:val="StrongEmphasis"/>
        </w:rPr>
        <w:t>ЗАКЛЮЧЕНИЯ ДОГОВОРОВ С ФИНАНСОВЫМИ ОРГАНИЗАЦИЯМИ, ПОРЯДКА</w:t>
      </w:r>
    </w:p>
    <w:p>
      <w:pPr>
        <w:pStyle w:val="TextBody"/>
        <w:rPr/>
      </w:pPr>
      <w:r>
        <w:rPr>
          <w:rStyle w:val="StrongEmphasis"/>
        </w:rPr>
        <w:t>ЗАКЛЮЧЕНИЯ ДОГОВОРОВ В ОТНОШЕНИИ ГОСУДАРСТВЕННОГО</w:t>
      </w:r>
    </w:p>
    <w:p>
      <w:pPr>
        <w:pStyle w:val="TextBody"/>
        <w:rPr/>
      </w:pPr>
      <w:r>
        <w:rPr>
          <w:rStyle w:val="StrongEmphasis"/>
        </w:rPr>
        <w:t>И МУНИЦИПАЛЬНОГО ИМУЩЕСТВА, ПОРЯДКА РАССМОТРЕНИЯ</w:t>
      </w:r>
    </w:p>
    <w:p>
      <w:pPr>
        <w:pStyle w:val="TextBody"/>
        <w:rPr/>
      </w:pPr>
      <w:r>
        <w:rPr>
          <w:rStyle w:val="StrongEmphasis"/>
        </w:rPr>
        <w:t>АНТИМОНОПОЛЬНЫМ ОРГАНОМ ЖАЛОБ НА НАРУШЕНИЕ ПРОЦЕДУРЫ</w:t>
      </w:r>
    </w:p>
    <w:p>
      <w:pPr>
        <w:pStyle w:val="TextBody"/>
        <w:rPr/>
      </w:pPr>
      <w:r>
        <w:rPr>
          <w:rStyle w:val="StrongEmphasis"/>
        </w:rPr>
        <w:t>ТОРГОВ И ПОРЯДКА ЗАКЛЮЧЕНИЯ ДОГОВОРОВ, ПОРЯДКА</w:t>
      </w:r>
    </w:p>
    <w:p>
      <w:pPr>
        <w:pStyle w:val="TextBody"/>
        <w:rPr/>
      </w:pPr>
      <w:r>
        <w:rPr>
          <w:rStyle w:val="StrongEmphasis"/>
        </w:rPr>
        <w:t>ОСУЩЕСТВЛЕНИЯ ПРОЦЕДУР, ВКЛЮЧЕННЫХ В ИСЧЕРПЫВАЮЩИЕ</w:t>
      </w:r>
    </w:p>
    <w:p>
      <w:pPr>
        <w:pStyle w:val="TextBody"/>
        <w:rPr/>
      </w:pPr>
      <w:r>
        <w:rPr>
          <w:rStyle w:val="StrongEmphasis"/>
        </w:rPr>
        <w:t>ПЕРЕЧНИ ПРОЦЕДУР В СФЕРАХ СТРОИТЕЛЬСТВА</w:t>
      </w:r>
    </w:p>
    <w:p>
      <w:pPr>
        <w:pStyle w:val="TextBody"/>
        <w:rPr/>
      </w:pPr>
      <w:r>
        <w:rPr>
          <w:rStyle w:val="StrongEmphasis"/>
        </w:rPr>
        <w:t>Статья 17. Антимонопольные требования к торгам, запросу котировок цен на товары, запросу предложений</w:t>
      </w:r>
    </w:p>
    <w:p>
      <w:pPr>
        <w:pStyle w:val="TextBody"/>
        <w:numPr>
          <w:ilvl w:val="0"/>
          <w:numId w:val="39"/>
        </w:numPr>
        <w:tabs>
          <w:tab w:val="left" w:pos="0" w:leader="none"/>
        </w:tabs>
        <w:ind w:left="707" w:hanging="283"/>
        <w:rPr/>
      </w:pPr>
      <w:r>
        <w:rPr/>
        <w:t xml:space="preserve">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t>
      </w:r>
    </w:p>
    <w:p>
      <w:pPr>
        <w:pStyle w:val="TextBody"/>
        <w:rPr/>
      </w:pPr>
      <w:r>
        <w:rP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pPr>
        <w:pStyle w:val="TextBody"/>
        <w:rPr/>
      </w:pPr>
      <w:r>
        <w:rPr/>
        <w:t>(в ред. Федерального закона от 05.10.2015 N 275-ФЗ)</w:t>
      </w:r>
    </w:p>
    <w:p>
      <w:pPr>
        <w:pStyle w:val="TextBody"/>
        <w:rPr/>
      </w:pPr>
      <w:r>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pPr>
        <w:pStyle w:val="TextBody"/>
        <w:rPr/>
      </w:pPr>
      <w:r>
        <w:rPr/>
        <w:t>3) нарушение порядка определения победителя или победителей торгов, запроса котировок, запроса предложений;</w:t>
      </w:r>
    </w:p>
    <w:p>
      <w:pPr>
        <w:pStyle w:val="TextBody"/>
        <w:rPr/>
      </w:pPr>
      <w:r>
        <w:rP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pPr>
        <w:pStyle w:val="TextBody"/>
        <w:numPr>
          <w:ilvl w:val="0"/>
          <w:numId w:val="40"/>
        </w:numPr>
        <w:tabs>
          <w:tab w:val="left" w:pos="0" w:leader="none"/>
        </w:tabs>
        <w:spacing w:before="0" w:after="0"/>
        <w:ind w:left="707" w:hanging="283"/>
        <w:rPr/>
      </w:pPr>
      <w:r>
        <w:rPr/>
        <w:t xml:space="preserve">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 </w:t>
      </w:r>
    </w:p>
    <w:p>
      <w:pPr>
        <w:pStyle w:val="TextBody"/>
        <w:numPr>
          <w:ilvl w:val="0"/>
          <w:numId w:val="40"/>
        </w:numPr>
        <w:tabs>
          <w:tab w:val="left" w:pos="0" w:leader="none"/>
        </w:tabs>
        <w:spacing w:before="0" w:after="0"/>
        <w:ind w:left="707" w:hanging="283"/>
        <w:rPr/>
      </w:pPr>
      <w:r>
        <w:rPr/>
        <w:t xml:space="preserve">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 </w:t>
      </w:r>
    </w:p>
    <w:p>
      <w:pPr>
        <w:pStyle w:val="TextBody"/>
        <w:numPr>
          <w:ilvl w:val="0"/>
          <w:numId w:val="40"/>
        </w:numPr>
        <w:tabs>
          <w:tab w:val="left" w:pos="0" w:leader="none"/>
        </w:tabs>
        <w:spacing w:before="0" w:after="0"/>
        <w:ind w:left="707" w:hanging="283"/>
        <w:rPr/>
      </w:pPr>
      <w:r>
        <w:rPr/>
        <w:t xml:space="preserve">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 </w:t>
      </w:r>
    </w:p>
    <w:p>
      <w:pPr>
        <w:pStyle w:val="TextBody"/>
        <w:numPr>
          <w:ilvl w:val="0"/>
          <w:numId w:val="40"/>
        </w:numPr>
        <w:tabs>
          <w:tab w:val="left" w:pos="0" w:leader="none"/>
        </w:tabs>
        <w:ind w:left="707" w:hanging="283"/>
        <w:rPr/>
      </w:pPr>
      <w:r>
        <w:rPr/>
        <w:t xml:space="preserve">Положения части 1 настоящей статьи распространяются в том числе на все закупки товаров, работ, услуг, осуществляемые в соответствии с Федеральным законом от 18 июля 2011 года N 223-ФЗ "О закупках товаров, работ, услуг отдельными видами юридических лиц". </w:t>
      </w:r>
    </w:p>
    <w:p>
      <w:pPr>
        <w:pStyle w:val="TextBody"/>
        <w:rPr/>
      </w:pPr>
      <w:r>
        <w:rPr>
          <w:rStyle w:val="StrongEmphasis"/>
        </w:rPr>
        <w:t>Статья 17.1. Особенности порядка заключения договоров в отношении государственного и муниципального имущества</w:t>
      </w:r>
    </w:p>
    <w:p>
      <w:pPr>
        <w:pStyle w:val="TextBody"/>
        <w:numPr>
          <w:ilvl w:val="0"/>
          <w:numId w:val="41"/>
        </w:numPr>
        <w:tabs>
          <w:tab w:val="left" w:pos="0" w:leader="none"/>
        </w:tabs>
        <w:ind w:left="707" w:hanging="283"/>
        <w:rPr/>
      </w:pPr>
      <w:r>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t>
      </w:r>
    </w:p>
    <w:p>
      <w:pPr>
        <w:pStyle w:val="TextBody"/>
        <w:rPr/>
      </w:pPr>
      <w:r>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TextBody"/>
        <w:rPr/>
      </w:pPr>
      <w:r>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TextBody"/>
        <w:rPr/>
      </w:pPr>
      <w:r>
        <w:rPr/>
        <w:t>3) государственным и муниципальным учреждениям;</w:t>
      </w:r>
    </w:p>
    <w:p>
      <w:pPr>
        <w:pStyle w:val="TextBody"/>
        <w:rPr/>
      </w:pPr>
      <w:r>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pPr>
        <w:pStyle w:val="TextBody"/>
        <w:rPr/>
      </w:pPr>
      <w:r>
        <w:rPr/>
        <w:t>5) адвокатским, нотариальным, торгово-промышленным палатам;</w:t>
      </w:r>
    </w:p>
    <w:p>
      <w:pPr>
        <w:pStyle w:val="TextBody"/>
        <w:rPr/>
      </w:pPr>
      <w:r>
        <w:rPr/>
        <w:t>6) медицинским организациям, организациям, осуществляющим образовательную деятельность;</w:t>
      </w:r>
    </w:p>
    <w:p>
      <w:pPr>
        <w:pStyle w:val="TextBody"/>
        <w:rPr/>
      </w:pPr>
      <w:r>
        <w:rPr/>
        <w:t>7) для размещения сетей связи, объектов почтовой связи;</w:t>
      </w:r>
    </w:p>
    <w:p>
      <w:pPr>
        <w:pStyle w:val="TextBody"/>
        <w:rPr/>
      </w:pPr>
      <w:r>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p>
    <w:p>
      <w:pPr>
        <w:pStyle w:val="TextBody"/>
        <w:rPr/>
      </w:pPr>
      <w:r>
        <w:rPr/>
        <w:t>9) в порядке, установленном главой 5 настоящего Федерального закона;</w:t>
      </w:r>
    </w:p>
    <w:p>
      <w:pPr>
        <w:pStyle w:val="TextBody"/>
        <w:rPr/>
      </w:pPr>
      <w:r>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pPr>
        <w:pStyle w:val="TextBody"/>
        <w:rPr/>
      </w:pPr>
      <w:r>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pStyle w:val="TextBody"/>
        <w:rPr/>
      </w:pPr>
      <w:r>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TextBody"/>
        <w:rPr/>
      </w:pPr>
      <w:r>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TextBody"/>
        <w:rPr/>
      </w:pPr>
      <w:r>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TextBody"/>
        <w:rPr/>
      </w:pPr>
      <w:r>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TextBody"/>
        <w:rPr/>
      </w:pPr>
      <w:r>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
    <w:p>
      <w:pPr>
        <w:pStyle w:val="TextBody"/>
        <w:numPr>
          <w:ilvl w:val="0"/>
          <w:numId w:val="42"/>
        </w:numPr>
        <w:tabs>
          <w:tab w:val="left" w:pos="0" w:leader="none"/>
        </w:tabs>
        <w:spacing w:before="0" w:after="0"/>
        <w:ind w:left="707" w:hanging="283"/>
        <w:rPr/>
      </w:pPr>
      <w:r>
        <w:rPr/>
        <w:t xml:space="preserve">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t>
      </w:r>
    </w:p>
    <w:p>
      <w:pPr>
        <w:pStyle w:val="TextBody"/>
        <w:numPr>
          <w:ilvl w:val="0"/>
          <w:numId w:val="42"/>
        </w:numPr>
        <w:tabs>
          <w:tab w:val="left" w:pos="0" w:leader="none"/>
        </w:tabs>
        <w:ind w:left="707" w:hanging="283"/>
        <w:rPr/>
      </w:pPr>
      <w:r>
        <w:rPr/>
        <w:t xml:space="preserve">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t>
      </w:r>
    </w:p>
    <w:p>
      <w:pPr>
        <w:pStyle w:val="TextBody"/>
        <w:rPr/>
      </w:pPr>
      <w:r>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pPr>
        <w:pStyle w:val="TextBody"/>
        <w:rPr/>
      </w:pPr>
      <w:r>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pPr>
        <w:pStyle w:val="TextBody"/>
        <w:rPr/>
      </w:pPr>
      <w:r>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pPr>
        <w:pStyle w:val="TextBody"/>
        <w:rPr/>
      </w:pPr>
      <w:r>
        <w:rPr/>
        <w:t>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w:t>
      </w:r>
    </w:p>
    <w:p>
      <w:pPr>
        <w:pStyle w:val="TextBody"/>
        <w:rPr/>
      </w:pPr>
      <w:r>
        <w:rPr/>
        <w:t>1) арендаторами являются хозяйственные общества, созданные учреждениями, указанными в абзаце первом настоящей части;</w:t>
      </w:r>
    </w:p>
    <w:p>
      <w:pPr>
        <w:pStyle w:val="TextBody"/>
        <w:rPr/>
      </w:pPr>
      <w:r>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pPr>
        <w:pStyle w:val="TextBody"/>
        <w:rPr/>
      </w:pPr>
      <w:r>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pPr>
        <w:pStyle w:val="TextBody"/>
        <w:rPr/>
      </w:pPr>
      <w:r>
        <w:rP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pPr>
        <w:pStyle w:val="TextBody"/>
        <w:rPr/>
      </w:pPr>
      <w:r>
        <w:rPr/>
        <w:t>1) медицинскими организациями для охраны здоровья обучающихся и работников организаций, осуществляющих образовательную деятельность;</w:t>
      </w:r>
    </w:p>
    <w:p>
      <w:pPr>
        <w:pStyle w:val="TextBody"/>
        <w:rPr/>
      </w:pPr>
      <w:r>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pPr>
        <w:pStyle w:val="TextBody"/>
        <w:rPr/>
      </w:pPr>
      <w:r>
        <w:rPr/>
        <w:t>3) физкультурно-спортивными организациями для создания условий для занятия обучающимися физической культурой и спортом.</w:t>
      </w:r>
    </w:p>
    <w:p>
      <w:pPr>
        <w:pStyle w:val="TextBody"/>
        <w:numPr>
          <w:ilvl w:val="0"/>
          <w:numId w:val="43"/>
        </w:numPr>
        <w:tabs>
          <w:tab w:val="left" w:pos="0" w:leader="none"/>
        </w:tabs>
        <w:spacing w:before="0" w:after="0"/>
        <w:ind w:left="707" w:hanging="283"/>
        <w:rPr/>
      </w:pPr>
      <w:r>
        <w:rPr/>
        <w:t xml:space="preserve">Утратил силу. - Федеральный закон от 06.12.2011 N 401-ФЗ. </w:t>
      </w:r>
    </w:p>
    <w:p>
      <w:pPr>
        <w:pStyle w:val="TextBody"/>
        <w:numPr>
          <w:ilvl w:val="0"/>
          <w:numId w:val="43"/>
        </w:numPr>
        <w:tabs>
          <w:tab w:val="left" w:pos="0" w:leader="none"/>
        </w:tabs>
        <w:ind w:left="707" w:hanging="283"/>
        <w:rPr/>
      </w:pPr>
      <w:r>
        <w:rPr/>
        <w:t xml:space="preserve">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t>
      </w:r>
    </w:p>
    <w:p>
      <w:pPr>
        <w:pStyle w:val="TextBody"/>
        <w:rPr/>
      </w:pPr>
      <w:r>
        <w:rPr/>
        <w:t>5.1. В соответствии с частью 6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pPr>
        <w:pStyle w:val="TextBody"/>
        <w:numPr>
          <w:ilvl w:val="0"/>
          <w:numId w:val="44"/>
        </w:numPr>
        <w:tabs>
          <w:tab w:val="left" w:pos="0" w:leader="none"/>
        </w:tabs>
        <w:spacing w:before="0" w:after="0"/>
        <w:ind w:left="707" w:hanging="283"/>
        <w:rPr/>
      </w:pPr>
      <w:r>
        <w:rPr/>
        <w:t xml:space="preserve">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w:t>
      </w:r>
    </w:p>
    <w:p>
      <w:pPr>
        <w:pStyle w:val="TextBody"/>
        <w:numPr>
          <w:ilvl w:val="0"/>
          <w:numId w:val="44"/>
        </w:numPr>
        <w:tabs>
          <w:tab w:val="left" w:pos="0" w:leader="none"/>
        </w:tabs>
        <w:spacing w:before="0" w:after="0"/>
        <w:ind w:left="707" w:hanging="283"/>
        <w:rPr/>
      </w:pPr>
      <w:r>
        <w:rPr/>
        <w:t xml:space="preserve">Не допускается заключение договоров, указанных в частях 1 и 3 настоящей статьи, ранее чем через десять дней со дня размещения информации о результатах конкурса или аукциона на официальном сайте торгов. </w:t>
      </w:r>
    </w:p>
    <w:p>
      <w:pPr>
        <w:pStyle w:val="TextBody"/>
        <w:numPr>
          <w:ilvl w:val="0"/>
          <w:numId w:val="44"/>
        </w:numPr>
        <w:tabs>
          <w:tab w:val="left" w:pos="0" w:leader="none"/>
        </w:tabs>
        <w:ind w:left="707" w:hanging="283"/>
        <w:rPr/>
      </w:pPr>
      <w:r>
        <w:rPr/>
        <w:t xml:space="preserve">При заключении и (или) исполнении указанных в частях 1 и 3 настоящей статьи договоров их цена может быть увеличена по соглашению сторон в порядке, установленном договором. </w:t>
      </w:r>
    </w:p>
    <w:p>
      <w:pPr>
        <w:pStyle w:val="TextBody"/>
        <w:rPr/>
      </w:pPr>
      <w:r>
        <w:rPr/>
        <w:t>(часть 8 введена Федеральным законом от 06.12.2011 N 401-ФЗ)</w:t>
      </w:r>
    </w:p>
    <w:p>
      <w:pPr>
        <w:pStyle w:val="TextBody"/>
        <w:numPr>
          <w:ilvl w:val="0"/>
          <w:numId w:val="45"/>
        </w:numPr>
        <w:tabs>
          <w:tab w:val="left" w:pos="0" w:leader="none"/>
        </w:tabs>
        <w:ind w:left="707" w:hanging="283"/>
        <w:rPr/>
      </w:pPr>
      <w:r>
        <w:rPr/>
        <w:t xml:space="preserve">По истечении срока договора аренды, указанного в частях 1 и 3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 </w:t>
      </w:r>
    </w:p>
    <w:p>
      <w:pPr>
        <w:pStyle w:val="TextBody"/>
        <w:rPr/>
      </w:pPr>
      <w:r>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pPr>
        <w:pStyle w:val="TextBody"/>
        <w:rPr/>
      </w:pPr>
      <w:r>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TextBody"/>
        <w:numPr>
          <w:ilvl w:val="0"/>
          <w:numId w:val="46"/>
        </w:numPr>
        <w:tabs>
          <w:tab w:val="left" w:pos="0" w:leader="none"/>
        </w:tabs>
        <w:ind w:left="707" w:hanging="283"/>
        <w:rPr/>
      </w:pPr>
      <w:r>
        <w:rPr/>
        <w:t xml:space="preserve">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t>
      </w:r>
    </w:p>
    <w:p>
      <w:pPr>
        <w:pStyle w:val="TextBody"/>
        <w:rPr/>
      </w:pPr>
      <w:r>
        <w:rPr/>
        <w:t>1) принятие в установленном порядке решения, предусматривающего иной порядок распоряжения таким имуществом;</w:t>
      </w:r>
    </w:p>
    <w:p>
      <w:pPr>
        <w:pStyle w:val="TextBody"/>
        <w:rPr/>
      </w:pPr>
      <w:r>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TextBody"/>
        <w:numPr>
          <w:ilvl w:val="0"/>
          <w:numId w:val="47"/>
        </w:numPr>
        <w:tabs>
          <w:tab w:val="left" w:pos="0" w:leader="none"/>
        </w:tabs>
        <w:ind w:left="707" w:hanging="283"/>
        <w:rPr/>
      </w:pPr>
      <w:r>
        <w:rPr/>
        <w:t xml:space="preserve">В случае отказа арендодателя в заключении на новый срок договора аренды, указанного в частях 1 и 3 настоящей статьи,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 </w:t>
      </w:r>
    </w:p>
    <w:p>
      <w:pPr>
        <w:pStyle w:val="TextBody"/>
        <w:rPr/>
      </w:pPr>
      <w:r>
        <w:rPr>
          <w:rStyle w:val="StrongEmphasis"/>
        </w:rPr>
        <w:t>Статья 18. Особенности заключения договоров с финансовыми организациями</w:t>
      </w:r>
    </w:p>
    <w:p>
      <w:pPr>
        <w:pStyle w:val="TextBody"/>
        <w:numPr>
          <w:ilvl w:val="0"/>
          <w:numId w:val="48"/>
        </w:numPr>
        <w:tabs>
          <w:tab w:val="left" w:pos="0" w:leader="none"/>
        </w:tabs>
        <w:ind w:left="707" w:hanging="283"/>
        <w:rPr/>
      </w:pPr>
      <w:r>
        <w:rPr/>
        <w:t xml:space="preserve">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 </w:t>
      </w:r>
    </w:p>
    <w:p>
      <w:pPr>
        <w:pStyle w:val="TextBody"/>
        <w:rPr/>
      </w:pPr>
      <w:r>
        <w:rPr/>
        <w:t>1) привлечение денежных средств во вклады (депозиты);</w:t>
      </w:r>
    </w:p>
    <w:p>
      <w:pPr>
        <w:pStyle w:val="TextBody"/>
        <w:rPr/>
      </w:pPr>
      <w:r>
        <w:rPr/>
        <w:t>2) открытие и ведение банковских счетов, осуществление расчетов по этим счетам;</w:t>
      </w:r>
    </w:p>
    <w:p>
      <w:pPr>
        <w:pStyle w:val="TextBody"/>
        <w:rPr/>
      </w:pPr>
      <w:r>
        <w:rPr/>
        <w:t>3) утратил силу.</w:t>
      </w:r>
    </w:p>
    <w:p>
      <w:pPr>
        <w:pStyle w:val="TextBody"/>
        <w:rPr/>
      </w:pPr>
      <w:r>
        <w:rPr/>
        <w:t>4) доверительное управление ценными бумагами;</w:t>
      </w:r>
    </w:p>
    <w:p>
      <w:pPr>
        <w:pStyle w:val="TextBody"/>
        <w:rPr/>
      </w:pPr>
      <w:r>
        <w:rPr/>
        <w:t>5) негосударственное пенсионное обеспечение.</w:t>
      </w:r>
    </w:p>
    <w:p>
      <w:pPr>
        <w:pStyle w:val="TextBody"/>
        <w:numPr>
          <w:ilvl w:val="0"/>
          <w:numId w:val="49"/>
        </w:numPr>
        <w:tabs>
          <w:tab w:val="left" w:pos="0" w:leader="none"/>
        </w:tabs>
        <w:ind w:left="707" w:hanging="283"/>
        <w:rPr/>
      </w:pPr>
      <w:r>
        <w:rPr/>
        <w:t xml:space="preserve">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 </w:t>
      </w:r>
    </w:p>
    <w:p>
      <w:pPr>
        <w:pStyle w:val="TextBody"/>
        <w:rPr/>
      </w:pPr>
      <w:r>
        <w:rP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pPr>
        <w:pStyle w:val="TextBody"/>
        <w:rPr/>
      </w:pPr>
      <w:r>
        <w:rPr/>
        <w:t>2) рейтинга рейтинговых агентств;</w:t>
      </w:r>
    </w:p>
    <w:p>
      <w:pPr>
        <w:pStyle w:val="TextBody"/>
        <w:rPr/>
      </w:pPr>
      <w:r>
        <w:rPr/>
        <w:t>3) филиалов, представительств, иных структурных подразделений вне места оказания финансовой услуги.</w:t>
      </w:r>
    </w:p>
    <w:p>
      <w:pPr>
        <w:pStyle w:val="TextBody"/>
        <w:rPr/>
      </w:pPr>
      <w:r>
        <w:rP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pPr>
        <w:pStyle w:val="TextBody"/>
        <w:numPr>
          <w:ilvl w:val="0"/>
          <w:numId w:val="50"/>
        </w:numPr>
        <w:tabs>
          <w:tab w:val="left" w:pos="0" w:leader="none"/>
        </w:tabs>
        <w:spacing w:before="0" w:after="0"/>
        <w:ind w:left="707" w:hanging="283"/>
        <w:rPr/>
      </w:pPr>
      <w:r>
        <w:rPr/>
        <w:t xml:space="preserve">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pPr>
        <w:pStyle w:val="TextBody"/>
        <w:numPr>
          <w:ilvl w:val="0"/>
          <w:numId w:val="50"/>
        </w:numPr>
        <w:tabs>
          <w:tab w:val="left" w:pos="0" w:leader="none"/>
        </w:tabs>
        <w:spacing w:before="0" w:after="0"/>
        <w:ind w:left="707" w:hanging="283"/>
        <w:rPr/>
      </w:pPr>
      <w:r>
        <w:rPr/>
        <w:t xml:space="preserve">Срок действия договоров об оказании финансовых услуг, заключаемых в порядке, установленном частью 1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 </w:t>
      </w:r>
    </w:p>
    <w:p>
      <w:pPr>
        <w:pStyle w:val="TextBody"/>
        <w:numPr>
          <w:ilvl w:val="0"/>
          <w:numId w:val="50"/>
        </w:numPr>
        <w:tabs>
          <w:tab w:val="left" w:pos="0" w:leader="none"/>
        </w:tabs>
        <w:ind w:left="707" w:hanging="283"/>
        <w:rPr/>
      </w:pPr>
      <w:r>
        <w:rPr/>
        <w:t xml:space="preserve">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 </w:t>
      </w:r>
    </w:p>
    <w:p>
      <w:pPr>
        <w:pStyle w:val="TextBody"/>
        <w:rPr/>
      </w:pPr>
      <w:r>
        <w:rPr>
          <w:rStyle w:val="StrongEmphasis"/>
        </w:rP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pPr>
        <w:pStyle w:val="TextBody"/>
        <w:numPr>
          <w:ilvl w:val="0"/>
          <w:numId w:val="51"/>
        </w:numPr>
        <w:tabs>
          <w:tab w:val="left" w:pos="0" w:leader="none"/>
        </w:tabs>
        <w:ind w:left="707" w:hanging="283"/>
        <w:rPr/>
      </w:pPr>
      <w:r>
        <w:rPr/>
        <w:t xml:space="preserve">В соответствии с правилами настоящей статьи антимонопольный орган рассматривает жалобы: </w:t>
      </w:r>
    </w:p>
    <w:p>
      <w:pPr>
        <w:pStyle w:val="TextBody"/>
        <w:rPr/>
      </w:pPr>
      <w:r>
        <w:rPr/>
        <w:t>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законом от 18 июля 2011 года N 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TextBody"/>
        <w:rPr/>
      </w:pPr>
      <w:r>
        <w:rPr/>
        <w:t>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pPr>
        <w:pStyle w:val="TextBody"/>
        <w:rPr/>
      </w:pPr>
      <w:r>
        <w:rP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pPr>
        <w:pStyle w:val="TextBody"/>
        <w:rPr/>
      </w:pPr>
      <w:r>
        <w:rPr/>
        <w:t>б) предъявления требования осуществить процедуру, не включенную в исчерпывающий перечень процедур в соответствующей сфере строительства;</w:t>
      </w:r>
    </w:p>
    <w:p>
      <w:pPr>
        <w:pStyle w:val="TextBody"/>
        <w:rPr/>
      </w:pPr>
      <w:r>
        <w:rPr/>
        <w:t>в) незаконного отказа в приеме документов, заявлений;</w:t>
      </w:r>
    </w:p>
    <w:p>
      <w:pPr>
        <w:pStyle w:val="TextBody"/>
        <w:rPr/>
      </w:pPr>
      <w:r>
        <w:rPr/>
        <w:t>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pPr>
        <w:pStyle w:val="TextBody"/>
        <w:rPr/>
      </w:pPr>
      <w:r>
        <w:rPr/>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подпунктами "а" - "г" пункта 2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pPr>
        <w:pStyle w:val="TextBody"/>
        <w:numPr>
          <w:ilvl w:val="0"/>
          <w:numId w:val="52"/>
        </w:numPr>
        <w:tabs>
          <w:tab w:val="left" w:pos="0" w:leader="none"/>
        </w:tabs>
        <w:spacing w:before="0" w:after="0"/>
        <w:ind w:left="707" w:hanging="283"/>
        <w:rPr/>
      </w:pPr>
      <w:r>
        <w:rPr/>
        <w:t xml:space="preserve">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 </w:t>
      </w:r>
    </w:p>
    <w:p>
      <w:pPr>
        <w:pStyle w:val="TextBody"/>
        <w:numPr>
          <w:ilvl w:val="0"/>
          <w:numId w:val="52"/>
        </w:numPr>
        <w:tabs>
          <w:tab w:val="left" w:pos="0" w:leader="none"/>
        </w:tabs>
        <w:spacing w:before="0" w:after="0"/>
        <w:ind w:left="707" w:hanging="283"/>
        <w:rPr/>
      </w:pPr>
      <w:r>
        <w:rPr/>
        <w:t xml:space="preserve">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 </w:t>
      </w:r>
    </w:p>
    <w:p>
      <w:pPr>
        <w:pStyle w:val="TextBody"/>
        <w:numPr>
          <w:ilvl w:val="0"/>
          <w:numId w:val="52"/>
        </w:numPr>
        <w:tabs>
          <w:tab w:val="left" w:pos="0" w:leader="none"/>
        </w:tabs>
        <w:spacing w:before="0" w:after="0"/>
        <w:ind w:left="707" w:hanging="283"/>
        <w:rPr/>
      </w:pPr>
      <w:r>
        <w:rPr/>
        <w:t xml:space="preserve">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 </w:t>
      </w:r>
    </w:p>
    <w:p>
      <w:pPr>
        <w:pStyle w:val="TextBody"/>
        <w:numPr>
          <w:ilvl w:val="0"/>
          <w:numId w:val="52"/>
        </w:numPr>
        <w:tabs>
          <w:tab w:val="left" w:pos="0" w:leader="none"/>
        </w:tabs>
        <w:ind w:left="707" w:hanging="283"/>
        <w:rPr/>
      </w:pPr>
      <w:r>
        <w:rPr/>
        <w:t xml:space="preserve">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w:t>
      </w:r>
    </w:p>
    <w:p>
      <w:pPr>
        <w:pStyle w:val="TextBody"/>
        <w:rPr/>
      </w:pPr>
      <w:r>
        <w:rP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pPr>
        <w:pStyle w:val="TextBody"/>
        <w:numPr>
          <w:ilvl w:val="0"/>
          <w:numId w:val="53"/>
        </w:numPr>
        <w:tabs>
          <w:tab w:val="left" w:pos="0" w:leader="none"/>
        </w:tabs>
        <w:ind w:left="707" w:hanging="283"/>
        <w:rPr/>
      </w:pPr>
      <w:r>
        <w:rPr/>
        <w:t xml:space="preserve">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t>
      </w:r>
    </w:p>
    <w:p>
      <w:pPr>
        <w:pStyle w:val="TextBody"/>
        <w:rPr/>
      </w:pPr>
      <w:r>
        <w:rP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pPr>
        <w:pStyle w:val="TextBody"/>
        <w:rPr/>
      </w:pPr>
      <w:r>
        <w:rP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pPr>
        <w:pStyle w:val="TextBody"/>
        <w:rPr/>
      </w:pPr>
      <w:r>
        <w:rP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pPr>
        <w:pStyle w:val="TextBody"/>
        <w:rPr/>
      </w:pPr>
      <w:r>
        <w:rP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pPr>
        <w:pStyle w:val="TextBody"/>
        <w:rPr/>
      </w:pPr>
      <w:r>
        <w:rPr/>
        <w:t>5) перечень прилагаемых к жалобе документов.</w:t>
      </w:r>
    </w:p>
    <w:p>
      <w:pPr>
        <w:pStyle w:val="TextBody"/>
        <w:numPr>
          <w:ilvl w:val="0"/>
          <w:numId w:val="54"/>
        </w:numPr>
        <w:tabs>
          <w:tab w:val="left" w:pos="0" w:leader="none"/>
        </w:tabs>
        <w:spacing w:before="0" w:after="0"/>
        <w:ind w:left="707" w:hanging="283"/>
        <w:rPr/>
      </w:pPr>
      <w:r>
        <w:rPr/>
        <w:t xml:space="preserve">Жалоба может быть направлена в антимонопольный орган посредством почтовой или факсимильной связи, электронной почты либо иным способом. </w:t>
      </w:r>
    </w:p>
    <w:p>
      <w:pPr>
        <w:pStyle w:val="TextBody"/>
        <w:numPr>
          <w:ilvl w:val="0"/>
          <w:numId w:val="54"/>
        </w:numPr>
        <w:tabs>
          <w:tab w:val="left" w:pos="0" w:leader="none"/>
        </w:tabs>
        <w:spacing w:before="0" w:after="0"/>
        <w:ind w:left="707" w:hanging="283"/>
        <w:rPr/>
      </w:pPr>
      <w:r>
        <w:rPr/>
        <w:t xml:space="preserve">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 </w:t>
      </w:r>
    </w:p>
    <w:p>
      <w:pPr>
        <w:pStyle w:val="TextBody"/>
        <w:numPr>
          <w:ilvl w:val="0"/>
          <w:numId w:val="54"/>
        </w:numPr>
        <w:tabs>
          <w:tab w:val="left" w:pos="0" w:leader="none"/>
        </w:tabs>
        <w:ind w:left="707" w:hanging="283"/>
        <w:rPr/>
      </w:pPr>
      <w:r>
        <w:rPr/>
        <w:t xml:space="preserve">Жалоба возвращается заявителю в следующих случаях: </w:t>
      </w:r>
    </w:p>
    <w:p>
      <w:pPr>
        <w:pStyle w:val="TextBody"/>
        <w:rPr/>
      </w:pPr>
      <w:r>
        <w:rPr/>
        <w:t>1) жалоба не содержит сведения, предусмотренные частью 6 настоящей статьи;</w:t>
      </w:r>
    </w:p>
    <w:p>
      <w:pPr>
        <w:pStyle w:val="TextBody"/>
        <w:rPr/>
      </w:pPr>
      <w:r>
        <w:rPr/>
        <w:t>2) жалоба не подписана или подписана лицом, полномочия которого не подтверждены документами;</w:t>
      </w:r>
    </w:p>
    <w:p>
      <w:pPr>
        <w:pStyle w:val="TextBody"/>
        <w:rPr/>
      </w:pPr>
      <w:r>
        <w:rP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TextBody"/>
        <w:rPr/>
      </w:pPr>
      <w:r>
        <w:rP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TextBody"/>
        <w:rPr/>
      </w:pPr>
      <w:r>
        <w:rPr/>
        <w:t>5) акты и (или) действия (бездействие) уполномоченного органа были обжалованы в порядке, установленном Федеральным законом от 27 июля 2010 года N 210-ФЗ "Об организации предоставления государственных и муниципальных услуг".</w:t>
      </w:r>
    </w:p>
    <w:p>
      <w:pPr>
        <w:pStyle w:val="TextBody"/>
        <w:numPr>
          <w:ilvl w:val="0"/>
          <w:numId w:val="55"/>
        </w:numPr>
        <w:tabs>
          <w:tab w:val="left" w:pos="0" w:leader="none"/>
        </w:tabs>
        <w:spacing w:before="0" w:after="0"/>
        <w:ind w:left="707" w:hanging="283"/>
        <w:rPr/>
      </w:pPr>
      <w:r>
        <w:rPr/>
        <w:t xml:space="preserve">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 </w:t>
      </w:r>
    </w:p>
    <w:p>
      <w:pPr>
        <w:pStyle w:val="TextBody"/>
        <w:numPr>
          <w:ilvl w:val="0"/>
          <w:numId w:val="55"/>
        </w:numPr>
        <w:tabs>
          <w:tab w:val="left" w:pos="0" w:leader="none"/>
        </w:tabs>
        <w:spacing w:before="0" w:after="0"/>
        <w:ind w:left="707" w:hanging="283"/>
        <w:rPr/>
      </w:pPr>
      <w:r>
        <w:rPr/>
        <w:t xml:space="preserve">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 </w:t>
      </w:r>
    </w:p>
    <w:p>
      <w:pPr>
        <w:pStyle w:val="TextBody"/>
        <w:numPr>
          <w:ilvl w:val="0"/>
          <w:numId w:val="55"/>
        </w:numPr>
        <w:tabs>
          <w:tab w:val="left" w:pos="0" w:leader="none"/>
        </w:tabs>
        <w:spacing w:before="0" w:after="0"/>
        <w:ind w:left="707" w:hanging="283"/>
        <w:rPr/>
      </w:pPr>
      <w:r>
        <w:rPr/>
        <w:t xml:space="preserve">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 </w:t>
      </w:r>
    </w:p>
    <w:p>
      <w:pPr>
        <w:pStyle w:val="TextBody"/>
        <w:numPr>
          <w:ilvl w:val="0"/>
          <w:numId w:val="55"/>
        </w:numPr>
        <w:tabs>
          <w:tab w:val="left" w:pos="0" w:leader="none"/>
        </w:tabs>
        <w:spacing w:before="0" w:after="0"/>
        <w:ind w:left="707" w:hanging="283"/>
        <w:rPr/>
      </w:pPr>
      <w:r>
        <w:rPr/>
        <w:t xml:space="preserve">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части 6 настоящей статьи. Возражение на жалобу направляется в антимонопольный орган не позднее чем за два рабочих дня до дня рассмотрения жалобы. </w:t>
      </w:r>
    </w:p>
    <w:p>
      <w:pPr>
        <w:pStyle w:val="TextBody"/>
        <w:numPr>
          <w:ilvl w:val="0"/>
          <w:numId w:val="55"/>
        </w:numPr>
        <w:tabs>
          <w:tab w:val="left" w:pos="0" w:leader="none"/>
        </w:tabs>
        <w:ind w:left="707" w:hanging="283"/>
        <w:rPr/>
      </w:pPr>
      <w:r>
        <w:rPr/>
        <w:t xml:space="preserve">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t>
      </w:r>
    </w:p>
    <w:p>
      <w:pPr>
        <w:pStyle w:val="TextBody"/>
        <w:rPr/>
      </w:pPr>
      <w:r>
        <w:rPr/>
        <w:t>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w:t>
      </w:r>
    </w:p>
    <w:p>
      <w:pPr>
        <w:pStyle w:val="TextBody"/>
        <w:numPr>
          <w:ilvl w:val="0"/>
          <w:numId w:val="56"/>
        </w:numPr>
        <w:tabs>
          <w:tab w:val="left" w:pos="0" w:leader="none"/>
        </w:tabs>
        <w:ind w:left="707" w:hanging="283"/>
        <w:rPr/>
      </w:pPr>
      <w:r>
        <w:rPr/>
        <w:t xml:space="preserve">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 </w:t>
      </w:r>
    </w:p>
    <w:p>
      <w:pPr>
        <w:pStyle w:val="TextBody"/>
        <w:rPr/>
      </w:pPr>
      <w:r>
        <w:rP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pPr>
        <w:pStyle w:val="TextBody"/>
        <w:rPr/>
      </w:pPr>
      <w:r>
        <w:rPr/>
        <w:t>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частью 11 настоящей статьи. Запрашиваемые сведения и документы должны быть представлены в антимонопольный орган до рассмотрения жалобы по существу.</w:t>
      </w:r>
    </w:p>
    <w:p>
      <w:pPr>
        <w:pStyle w:val="TextBody"/>
        <w:numPr>
          <w:ilvl w:val="0"/>
          <w:numId w:val="57"/>
        </w:numPr>
        <w:tabs>
          <w:tab w:val="left" w:pos="0" w:leader="none"/>
        </w:tabs>
        <w:spacing w:before="0" w:after="0"/>
        <w:ind w:left="707" w:hanging="283"/>
        <w:rPr/>
      </w:pPr>
      <w:r>
        <w:rPr/>
        <w:t xml:space="preserve">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частью 11 настоящей статьи) о времени и месте рассмотрения жалобы по существу, не является препятствием для такого рассмотрения. </w:t>
      </w:r>
    </w:p>
    <w:p>
      <w:pPr>
        <w:pStyle w:val="TextBody"/>
        <w:numPr>
          <w:ilvl w:val="0"/>
          <w:numId w:val="57"/>
        </w:numPr>
        <w:tabs>
          <w:tab w:val="left" w:pos="0" w:leader="none"/>
        </w:tabs>
        <w:spacing w:before="0" w:after="0"/>
        <w:ind w:left="707" w:hanging="283"/>
        <w:rPr/>
      </w:pPr>
      <w:r>
        <w:rPr/>
        <w:t xml:space="preserve">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 </w:t>
      </w:r>
    </w:p>
    <w:p>
      <w:pPr>
        <w:pStyle w:val="TextBody"/>
        <w:numPr>
          <w:ilvl w:val="0"/>
          <w:numId w:val="57"/>
        </w:numPr>
        <w:tabs>
          <w:tab w:val="left" w:pos="0" w:leader="none"/>
        </w:tabs>
        <w:spacing w:before="0" w:after="0"/>
        <w:ind w:left="707" w:hanging="283"/>
        <w:rPr/>
      </w:pPr>
      <w:r>
        <w:rPr/>
        <w:t xml:space="preserve">Со дня направления уведомления, предусмотренного частью 11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 </w:t>
      </w:r>
    </w:p>
    <w:p>
      <w:pPr>
        <w:pStyle w:val="TextBody"/>
        <w:numPr>
          <w:ilvl w:val="0"/>
          <w:numId w:val="57"/>
        </w:numPr>
        <w:tabs>
          <w:tab w:val="left" w:pos="0" w:leader="none"/>
        </w:tabs>
        <w:spacing w:before="0" w:after="0"/>
        <w:ind w:left="707" w:hanging="283"/>
        <w:rPr/>
      </w:pPr>
      <w:r>
        <w:rPr/>
        <w:t xml:space="preserve">В случае принятия жалобы к рассмотрению организатор торгов, которому в порядке, установленном частью 11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 </w:t>
      </w:r>
    </w:p>
    <w:p>
      <w:pPr>
        <w:pStyle w:val="TextBody"/>
        <w:numPr>
          <w:ilvl w:val="0"/>
          <w:numId w:val="57"/>
        </w:numPr>
        <w:tabs>
          <w:tab w:val="left" w:pos="0" w:leader="none"/>
        </w:tabs>
        <w:spacing w:before="0" w:after="0"/>
        <w:ind w:left="707" w:hanging="283"/>
        <w:rPr/>
      </w:pPr>
      <w:r>
        <w:rPr/>
        <w:t xml:space="preserve">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пунктом 3.1 части 1 статьи 23 настоящего Федерального закона. </w:t>
      </w:r>
    </w:p>
    <w:p>
      <w:pPr>
        <w:pStyle w:val="TextBody"/>
        <w:numPr>
          <w:ilvl w:val="0"/>
          <w:numId w:val="57"/>
        </w:numPr>
        <w:tabs>
          <w:tab w:val="left" w:pos="0" w:leader="none"/>
        </w:tabs>
        <w:spacing w:before="0" w:after="0"/>
        <w:ind w:left="707" w:hanging="283"/>
        <w:rPr/>
      </w:pPr>
      <w:r>
        <w:rPr/>
        <w:t xml:space="preserve">Комиссия прекращает рассмотрение жалобы в случаях, предусмотренных пунктами 3 - 5 части 9 настоящей статьи. </w:t>
      </w:r>
    </w:p>
    <w:p>
      <w:pPr>
        <w:pStyle w:val="TextBody"/>
        <w:numPr>
          <w:ilvl w:val="0"/>
          <w:numId w:val="57"/>
        </w:numPr>
        <w:tabs>
          <w:tab w:val="left" w:pos="0" w:leader="none"/>
        </w:tabs>
        <w:spacing w:before="0" w:after="0"/>
        <w:ind w:left="707" w:hanging="283"/>
        <w:rPr/>
      </w:pPr>
      <w:r>
        <w:rPr/>
        <w:t xml:space="preserve">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 </w:t>
      </w:r>
    </w:p>
    <w:p>
      <w:pPr>
        <w:pStyle w:val="TextBody"/>
        <w:numPr>
          <w:ilvl w:val="0"/>
          <w:numId w:val="57"/>
        </w:numPr>
        <w:tabs>
          <w:tab w:val="left" w:pos="0" w:leader="none"/>
        </w:tabs>
        <w:spacing w:before="0" w:after="0"/>
        <w:ind w:left="707" w:hanging="283"/>
        <w:rPr/>
      </w:pPr>
      <w:r>
        <w:rPr/>
        <w:t xml:space="preserve">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 </w:t>
      </w:r>
    </w:p>
    <w:p>
      <w:pPr>
        <w:pStyle w:val="TextBody"/>
        <w:numPr>
          <w:ilvl w:val="0"/>
          <w:numId w:val="57"/>
        </w:numPr>
        <w:tabs>
          <w:tab w:val="left" w:pos="0" w:leader="none"/>
        </w:tabs>
        <w:spacing w:before="0" w:after="0"/>
        <w:ind w:left="707" w:hanging="283"/>
        <w:rPr/>
      </w:pPr>
      <w:r>
        <w:rPr/>
        <w:t xml:space="preserve">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 </w:t>
      </w:r>
    </w:p>
    <w:p>
      <w:pPr>
        <w:pStyle w:val="TextBody"/>
        <w:numPr>
          <w:ilvl w:val="0"/>
          <w:numId w:val="57"/>
        </w:numPr>
        <w:tabs>
          <w:tab w:val="left" w:pos="0" w:leader="none"/>
        </w:tabs>
        <w:ind w:left="707" w:hanging="283"/>
        <w:rPr/>
      </w:pPr>
      <w:r>
        <w:rPr/>
        <w:t xml:space="preserve">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пункте 3.1 части 1 статьи 23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законом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 </w:t>
      </w:r>
    </w:p>
    <w:p>
      <w:pPr>
        <w:pStyle w:val="TextBody"/>
        <w:rPr/>
      </w:pPr>
      <w:r>
        <w:rPr/>
        <w:t>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статьей 15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pPr>
        <w:pStyle w:val="TextBody"/>
        <w:rPr/>
      </w:pPr>
      <w:r>
        <w:rP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pPr>
        <w:pStyle w:val="TextBody"/>
        <w:rPr/>
      </w:pPr>
      <w:r>
        <w:rP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pPr>
        <w:pStyle w:val="TextBody"/>
        <w:rPr/>
      </w:pPr>
      <w:r>
        <w:rPr/>
        <w:t>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пункте 1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pPr>
        <w:pStyle w:val="TextBody"/>
        <w:rPr/>
      </w:pPr>
      <w:r>
        <w:rPr>
          <w:rStyle w:val="StrongEmphasis"/>
        </w:rPr>
        <w:t>Глава 5. ПРЕДОСТАВЛЕНИЕ ГОСУДАРСТВЕННЫХ</w:t>
      </w:r>
    </w:p>
    <w:p>
      <w:pPr>
        <w:pStyle w:val="TextBody"/>
        <w:rPr/>
      </w:pPr>
      <w:r>
        <w:rPr>
          <w:rStyle w:val="StrongEmphasis"/>
        </w:rPr>
        <w:t>ИЛИ МУНИЦИПАЛЬНЫХ ПРЕФЕРЕНЦИЙ</w:t>
      </w:r>
    </w:p>
    <w:p>
      <w:pPr>
        <w:pStyle w:val="TextBody"/>
        <w:rPr/>
      </w:pPr>
      <w:r>
        <w:rPr/>
        <w:t>(в ред. Федерального закона от 17.07.2009 N 164-ФЗ)</w:t>
      </w:r>
    </w:p>
    <w:p>
      <w:pPr>
        <w:pStyle w:val="TextBody"/>
        <w:rPr/>
      </w:pPr>
      <w:r>
        <w:rPr>
          <w:rStyle w:val="StrongEmphasis"/>
        </w:rPr>
        <w:t>Статья 19. Государственные или муниципальные преференции</w:t>
      </w:r>
    </w:p>
    <w:p>
      <w:pPr>
        <w:pStyle w:val="TextBody"/>
        <w:numPr>
          <w:ilvl w:val="0"/>
          <w:numId w:val="58"/>
        </w:numPr>
        <w:tabs>
          <w:tab w:val="left" w:pos="0" w:leader="none"/>
        </w:tabs>
        <w:ind w:left="707" w:hanging="283"/>
        <w:rPr/>
      </w:pPr>
      <w:r>
        <w:rPr/>
        <w:t xml:space="preserve">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t>
      </w:r>
    </w:p>
    <w:p>
      <w:pPr>
        <w:pStyle w:val="TextBody"/>
        <w:rPr/>
      </w:pPr>
      <w:r>
        <w:rPr/>
        <w:t>1) обеспечения жизнедеятельности населения в районах Крайнего Севера и приравненных к ним местностях;</w:t>
      </w:r>
    </w:p>
    <w:p>
      <w:pPr>
        <w:pStyle w:val="TextBody"/>
        <w:rPr/>
      </w:pPr>
      <w:r>
        <w:rPr/>
        <w:t>2) развития образования и науки;</w:t>
      </w:r>
    </w:p>
    <w:p>
      <w:pPr>
        <w:pStyle w:val="TextBody"/>
        <w:rPr/>
      </w:pPr>
      <w:r>
        <w:rPr/>
        <w:t>3) проведения научных исследований;</w:t>
      </w:r>
    </w:p>
    <w:p>
      <w:pPr>
        <w:pStyle w:val="TextBody"/>
        <w:rPr/>
      </w:pPr>
      <w:r>
        <w:rPr/>
        <w:t>4) защиты окружающей среды;</w:t>
      </w:r>
    </w:p>
    <w:p>
      <w:pPr>
        <w:pStyle w:val="TextBody"/>
        <w:rPr/>
      </w:pPr>
      <w:r>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TextBody"/>
        <w:rPr/>
      </w:pPr>
      <w:r>
        <w:rPr/>
        <w:t>6) развития культуры, искусства и сохранения культурных ценностей;</w:t>
      </w:r>
    </w:p>
    <w:p>
      <w:pPr>
        <w:pStyle w:val="TextBody"/>
        <w:rPr/>
      </w:pPr>
      <w:r>
        <w:rPr/>
        <w:t>7) развития физической культуры и спорта;</w:t>
      </w:r>
    </w:p>
    <w:p>
      <w:pPr>
        <w:pStyle w:val="TextBody"/>
        <w:rPr/>
      </w:pPr>
      <w:r>
        <w:rPr/>
        <w:t>8) обеспечения обороноспособности страны и безопасности государства;</w:t>
      </w:r>
    </w:p>
    <w:p>
      <w:pPr>
        <w:pStyle w:val="TextBody"/>
        <w:rPr/>
      </w:pPr>
      <w:r>
        <w:rPr/>
        <w:t>9) производства сельскохозяйственной продукции;</w:t>
      </w:r>
    </w:p>
    <w:p>
      <w:pPr>
        <w:pStyle w:val="TextBody"/>
        <w:rPr/>
      </w:pPr>
      <w:r>
        <w:rPr/>
        <w:t>10) социального обеспечения населения;</w:t>
      </w:r>
    </w:p>
    <w:p>
      <w:pPr>
        <w:pStyle w:val="TextBody"/>
        <w:rPr/>
      </w:pPr>
      <w:r>
        <w:rPr/>
        <w:t>11) охраны труда;</w:t>
      </w:r>
    </w:p>
    <w:p>
      <w:pPr>
        <w:pStyle w:val="TextBody"/>
        <w:rPr/>
      </w:pPr>
      <w:r>
        <w:rPr/>
        <w:t>12) охраны здоровья граждан;</w:t>
      </w:r>
    </w:p>
    <w:p>
      <w:pPr>
        <w:pStyle w:val="TextBody"/>
        <w:rPr/>
      </w:pPr>
      <w:r>
        <w:rPr/>
        <w:t>13) поддержки субъектов малого и среднего предпринимательства;</w:t>
      </w:r>
    </w:p>
    <w:p>
      <w:pPr>
        <w:pStyle w:val="TextBody"/>
        <w:rPr/>
      </w:pPr>
      <w:r>
        <w:rPr/>
        <w:t>13.1)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
    <w:p>
      <w:pPr>
        <w:pStyle w:val="TextBody"/>
        <w:rPr/>
      </w:pPr>
      <w:r>
        <w:rP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pPr>
        <w:pStyle w:val="TextBody"/>
        <w:numPr>
          <w:ilvl w:val="0"/>
          <w:numId w:val="59"/>
        </w:numPr>
        <w:tabs>
          <w:tab w:val="left" w:pos="0" w:leader="none"/>
        </w:tabs>
        <w:spacing w:before="0" w:after="0"/>
        <w:ind w:left="707" w:hanging="283"/>
        <w:rPr/>
      </w:pPr>
      <w:r>
        <w:rPr/>
        <w:t xml:space="preserve">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 </w:t>
      </w:r>
    </w:p>
    <w:p>
      <w:pPr>
        <w:pStyle w:val="TextBody"/>
        <w:numPr>
          <w:ilvl w:val="0"/>
          <w:numId w:val="59"/>
        </w:numPr>
        <w:tabs>
          <w:tab w:val="left" w:pos="0" w:leader="none"/>
        </w:tabs>
        <w:ind w:left="707" w:hanging="283"/>
        <w:rPr/>
      </w:pPr>
      <w:r>
        <w:rPr/>
        <w:t xml:space="preserve">Государственная или муниципальная преференция в целях, предусмотренных частью 1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 </w:t>
      </w:r>
    </w:p>
    <w:p>
      <w:pPr>
        <w:pStyle w:val="TextBody"/>
        <w:rPr/>
      </w:pPr>
      <w:r>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pPr>
        <w:pStyle w:val="TextBody"/>
        <w:rPr/>
      </w:pPr>
      <w:r>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pPr>
        <w:pStyle w:val="TextBody"/>
        <w:rPr/>
      </w:pPr>
      <w:r>
        <w:rPr/>
        <w:t>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pPr>
        <w:pStyle w:val="TextBody"/>
        <w:rPr/>
      </w:pPr>
      <w:r>
        <w:rP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pPr>
        <w:pStyle w:val="TextBody"/>
        <w:numPr>
          <w:ilvl w:val="0"/>
          <w:numId w:val="60"/>
        </w:numPr>
        <w:tabs>
          <w:tab w:val="left" w:pos="0" w:leader="none"/>
        </w:tabs>
        <w:ind w:left="707" w:hanging="283"/>
        <w:rPr/>
      </w:pPr>
      <w:r>
        <w:rPr/>
        <w:t xml:space="preserve">Не является государственной или муниципальной преференцией: </w:t>
      </w:r>
    </w:p>
    <w:p>
      <w:pPr>
        <w:pStyle w:val="TextBody"/>
        <w:rPr/>
      </w:pPr>
      <w:r>
        <w:rPr/>
        <w:t>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законодательством Российской Федерации о контрактной системе в сфере закупок товаров, работ, услуг для государственных и муниципальных нужд;</w:t>
      </w:r>
    </w:p>
    <w:p>
      <w:pPr>
        <w:pStyle w:val="TextBody"/>
        <w:rPr/>
      </w:pPr>
      <w:r>
        <w:rP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pPr>
        <w:pStyle w:val="TextBody"/>
        <w:rPr/>
      </w:pPr>
      <w:r>
        <w:rP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pPr>
        <w:pStyle w:val="TextBody"/>
        <w:rPr/>
      </w:pPr>
      <w:r>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pPr>
        <w:pStyle w:val="TextBody"/>
        <w:rPr/>
      </w:pPr>
      <w:r>
        <w:rPr/>
        <w:t>5) предоставление имущества и (или) иных объектов гражданских прав в равной мере каждому участнику товарного рынка;</w:t>
      </w:r>
    </w:p>
    <w:p>
      <w:pPr>
        <w:pStyle w:val="TextBody"/>
        <w:rPr/>
      </w:pPr>
      <w:r>
        <w:rPr/>
        <w:t>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частями 4.1 - 4.12 статьи 37 Федерального закона от 21 июля 2005 года N 115-ФЗ "О концессионных соглашениях".</w:t>
      </w:r>
    </w:p>
    <w:p>
      <w:pPr>
        <w:pStyle w:val="TextBody"/>
        <w:rPr/>
      </w:pPr>
      <w:r>
        <w:rPr>
          <w:rStyle w:val="StrongEmphasis"/>
        </w:rPr>
        <w:t>Статья 20. Порядок предоставления государственной или муниципальной преференции</w:t>
      </w:r>
    </w:p>
    <w:p>
      <w:pPr>
        <w:pStyle w:val="TextBody"/>
        <w:numPr>
          <w:ilvl w:val="0"/>
          <w:numId w:val="61"/>
        </w:numPr>
        <w:tabs>
          <w:tab w:val="left" w:pos="0" w:leader="none"/>
        </w:tabs>
        <w:ind w:left="707" w:hanging="283"/>
        <w:rPr/>
      </w:pPr>
      <w:r>
        <w:rPr/>
        <w:t xml:space="preserve">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t>
      </w:r>
    </w:p>
    <w:p>
      <w:pPr>
        <w:pStyle w:val="TextBody"/>
        <w:rPr/>
      </w:pPr>
      <w:r>
        <w:rP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TextBody"/>
        <w:rPr/>
      </w:pPr>
      <w:r>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TextBody"/>
        <w:rPr/>
      </w:pPr>
      <w:r>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TextBody"/>
        <w:rPr/>
      </w:pPr>
      <w:r>
        <w:rP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pPr>
        <w:pStyle w:val="TextBody"/>
        <w:rPr/>
      </w:pPr>
      <w:r>
        <w:rP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pPr>
        <w:pStyle w:val="TextBody"/>
        <w:rPr/>
      </w:pPr>
      <w:r>
        <w:rPr/>
        <w:t>6) нотариально заверенные копии учредительных документов хозяйствующего субъекта.</w:t>
      </w:r>
    </w:p>
    <w:p>
      <w:pPr>
        <w:pStyle w:val="TextBody"/>
        <w:numPr>
          <w:ilvl w:val="0"/>
          <w:numId w:val="62"/>
        </w:numPr>
        <w:tabs>
          <w:tab w:val="left" w:pos="0" w:leader="none"/>
        </w:tabs>
        <w:spacing w:before="0" w:after="0"/>
        <w:ind w:left="707" w:hanging="283"/>
        <w:rPr/>
      </w:pPr>
      <w:r>
        <w:rPr/>
        <w:t xml:space="preserve">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части 3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частью 1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t>
      </w:r>
    </w:p>
    <w:p>
      <w:pPr>
        <w:pStyle w:val="TextBody"/>
        <w:numPr>
          <w:ilvl w:val="0"/>
          <w:numId w:val="62"/>
        </w:numPr>
        <w:tabs>
          <w:tab w:val="left" w:pos="0" w:leader="none"/>
        </w:tabs>
        <w:ind w:left="707" w:hanging="283"/>
        <w:rPr/>
      </w:pPr>
      <w:r>
        <w:rPr/>
        <w:t xml:space="preserve">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t>
      </w:r>
    </w:p>
    <w:p>
      <w:pPr>
        <w:pStyle w:val="TextBody"/>
        <w:rPr/>
      </w:pPr>
      <w:r>
        <w:rPr/>
        <w:t>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w:t>
      </w:r>
    </w:p>
    <w:p>
      <w:pPr>
        <w:pStyle w:val="TextBody"/>
        <w:rPr/>
      </w:pPr>
      <w:r>
        <w:rPr/>
        <w:t>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части 1 статьи 19 настоящего Федерального закона, и необходимо получить дополнительную информацию для принятия решения, предусмотренного пунктами 1, 3 или 4 настоящей части. По указанному решению срок рассмотрения этого заявления может быть продлен не более чем на два месяца;</w:t>
      </w:r>
    </w:p>
    <w:p>
      <w:pPr>
        <w:pStyle w:val="TextBody"/>
        <w:rPr/>
      </w:pPr>
      <w:r>
        <w:rPr/>
        <w:t>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w:t>
      </w:r>
    </w:p>
    <w:p>
      <w:pPr>
        <w:pStyle w:val="TextBody"/>
        <w:rPr/>
      </w:pPr>
      <w:r>
        <w:rPr/>
        <w:t>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конкуренцию. Ограничениями могут являться:</w:t>
      </w:r>
    </w:p>
    <w:p>
      <w:pPr>
        <w:pStyle w:val="TextBody"/>
        <w:rPr/>
      </w:pPr>
      <w:r>
        <w:rPr/>
        <w:t>а) предельный срок предоставления государственной или муниципальной преференции;</w:t>
      </w:r>
    </w:p>
    <w:p>
      <w:pPr>
        <w:pStyle w:val="TextBody"/>
        <w:rPr/>
      </w:pPr>
      <w:r>
        <w:rPr/>
        <w:t>б) круг лиц, которым может быть предоставлена государственная или муниципальная преференция;</w:t>
      </w:r>
    </w:p>
    <w:p>
      <w:pPr>
        <w:pStyle w:val="TextBody"/>
        <w:rPr/>
      </w:pPr>
      <w:r>
        <w:rPr/>
        <w:t>в) размер государственной или муниципальной преференции;</w:t>
      </w:r>
    </w:p>
    <w:p>
      <w:pPr>
        <w:pStyle w:val="TextBody"/>
        <w:rPr/>
      </w:pPr>
      <w:r>
        <w:rPr/>
        <w:t>г) цели предоставления государственной или муниципальной преференции;</w:t>
      </w:r>
    </w:p>
    <w:p>
      <w:pPr>
        <w:pStyle w:val="TextBody"/>
        <w:rPr/>
      </w:pPr>
      <w:r>
        <w:rPr/>
        <w:t>д) иные ограничения, применение которых оказывает влияние на состояние конкуренции.</w:t>
      </w:r>
    </w:p>
    <w:p>
      <w:pPr>
        <w:pStyle w:val="TextBody"/>
        <w:numPr>
          <w:ilvl w:val="0"/>
          <w:numId w:val="63"/>
        </w:numPr>
        <w:tabs>
          <w:tab w:val="left" w:pos="0" w:leader="none"/>
        </w:tabs>
        <w:ind w:left="707" w:hanging="283"/>
        <w:rPr/>
      </w:pPr>
      <w:r>
        <w:rPr/>
        <w:t xml:space="preserve">В случае, если решение о даче согласия на предоставление государственной или муниципальной преференции дано в соответствии с пунктом 4 части 3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 </w:t>
      </w:r>
    </w:p>
    <w:p>
      <w:pPr>
        <w:pStyle w:val="TextBody"/>
        <w:rPr/>
      </w:pPr>
      <w:r>
        <w:rPr>
          <w:rStyle w:val="StrongEmphasis"/>
        </w:rP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pPr>
        <w:pStyle w:val="TextBody"/>
        <w:rPr/>
      </w:pPr>
      <w:r>
        <w:rPr/>
        <w:t>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статьей 20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pPr>
        <w:pStyle w:val="TextBody"/>
        <w:rPr/>
      </w:pPr>
      <w:r>
        <w:rPr>
          <w:rStyle w:val="StrongEmphasis"/>
        </w:rPr>
        <w:t>Глава 6. ФУНКЦИИ И ПОЛНОМОЧИЯ АНТИМОНОПОЛЬНОГО ОРГАНА</w:t>
      </w:r>
    </w:p>
    <w:p>
      <w:pPr>
        <w:pStyle w:val="TextBody"/>
        <w:rPr/>
      </w:pPr>
      <w:r>
        <w:rPr>
          <w:rStyle w:val="StrongEmphasis"/>
        </w:rPr>
        <w:t>Статья 22. Функции антимонопольного органа</w:t>
      </w:r>
    </w:p>
    <w:p>
      <w:pPr>
        <w:pStyle w:val="TextBody"/>
        <w:rPr/>
      </w:pPr>
      <w:r>
        <w:rPr/>
        <w:t>Антимонопольный орган выполняет следующие основные функции:</w:t>
      </w:r>
    </w:p>
    <w:p>
      <w:pPr>
        <w:pStyle w:val="TextBody"/>
        <w:rPr/>
      </w:pPr>
      <w:r>
        <w:rP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pPr>
        <w:pStyle w:val="TextBody"/>
        <w:rPr/>
      </w:pPr>
      <w:r>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pPr>
        <w:pStyle w:val="TextBody"/>
        <w:rPr/>
      </w:pPr>
      <w:r>
        <w:rP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pPr>
        <w:pStyle w:val="TextBody"/>
        <w:rPr/>
      </w:pPr>
      <w:r>
        <w:rP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pPr>
        <w:pStyle w:val="TextBody"/>
        <w:rPr/>
      </w:pPr>
      <w:r>
        <w:rPr>
          <w:rStyle w:val="StrongEmphasis"/>
        </w:rPr>
        <w:t>Статья 23. Полномочия антимонопольного органа</w:t>
      </w:r>
    </w:p>
    <w:p>
      <w:pPr>
        <w:pStyle w:val="TextBody"/>
        <w:numPr>
          <w:ilvl w:val="0"/>
          <w:numId w:val="64"/>
        </w:numPr>
        <w:tabs>
          <w:tab w:val="left" w:pos="0" w:leader="none"/>
        </w:tabs>
        <w:ind w:left="707" w:hanging="283"/>
        <w:rPr/>
      </w:pPr>
      <w:r>
        <w:rPr/>
        <w:t xml:space="preserve">Антимонопольный орган осуществляет следующие полномочия: </w:t>
      </w:r>
    </w:p>
    <w:p>
      <w:pPr>
        <w:pStyle w:val="TextBody"/>
        <w:rPr/>
      </w:pPr>
      <w:r>
        <w:rPr/>
        <w:t>1) возбуждает и рассматривает дела о нарушениях антимонопольного законодательства;</w:t>
      </w:r>
    </w:p>
    <w:p>
      <w:pPr>
        <w:pStyle w:val="TextBody"/>
        <w:rPr/>
      </w:pPr>
      <w:r>
        <w:rPr/>
        <w:t>2) выдает в случаях, указанных в настоящем Федеральном законе, хозяйствующим субъектам обязательные для исполнения предписания:</w:t>
      </w:r>
    </w:p>
    <w:p>
      <w:pPr>
        <w:pStyle w:val="TextBody"/>
        <w:rPr/>
      </w:pPr>
      <w:r>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pPr>
        <w:pStyle w:val="TextBody"/>
        <w:rPr/>
      </w:pPr>
      <w:r>
        <w:rP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pPr>
        <w:pStyle w:val="TextBody"/>
        <w:rPr/>
      </w:pPr>
      <w:r>
        <w:rPr/>
        <w:t>в) о прекращении нарушения правил недискриминационного доступа к товарам;</w:t>
      </w:r>
    </w:p>
    <w:p>
      <w:pPr>
        <w:pStyle w:val="TextBody"/>
        <w:rPr/>
      </w:pPr>
      <w:r>
        <w:rPr/>
        <w:t>г) о прекращении недобросовестной конкуренции;</w:t>
      </w:r>
    </w:p>
    <w:p>
      <w:pPr>
        <w:pStyle w:val="TextBody"/>
        <w:rPr/>
      </w:pPr>
      <w:r>
        <w:rP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pPr>
        <w:pStyle w:val="TextBody"/>
        <w:rPr/>
      </w:pPr>
      <w:r>
        <w:rPr/>
        <w:t>е) об устранении последствий нарушения антимонопольного законодательства;</w:t>
      </w:r>
    </w:p>
    <w:p>
      <w:pPr>
        <w:pStyle w:val="TextBody"/>
        <w:rPr/>
      </w:pPr>
      <w:r>
        <w:rPr/>
        <w:t>ж) о прекращении иных нарушений антимонопольного законодательства;</w:t>
      </w:r>
    </w:p>
    <w:p>
      <w:pPr>
        <w:pStyle w:val="TextBody"/>
        <w:rPr/>
      </w:pPr>
      <w:r>
        <w:rPr/>
        <w:t>з) о восстановлении положения, существовавшего до нарушения антимонопольного законодательства;</w:t>
      </w:r>
    </w:p>
    <w:p>
      <w:pPr>
        <w:pStyle w:val="TextBody"/>
        <w:rPr/>
      </w:pPr>
      <w:r>
        <w:rP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TextBody"/>
        <w:rPr/>
      </w:pPr>
      <w:r>
        <w:rPr/>
        <w:t>к) о перечислении в федеральный бюджет дохода, полученного вследствие нарушения антимонопольного законодательства;</w:t>
      </w:r>
    </w:p>
    <w:p>
      <w:pPr>
        <w:pStyle w:val="TextBody"/>
        <w:rPr/>
      </w:pPr>
      <w:r>
        <w:rP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TextBody"/>
        <w:rPr/>
      </w:pPr>
      <w:r>
        <w:rP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pPr>
        <w:pStyle w:val="TextBody"/>
        <w:rPr/>
      </w:pPr>
      <w:r>
        <w:rPr/>
        <w:t>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установленном Правительством Российской Федерации;</w:t>
      </w:r>
    </w:p>
    <w:p>
      <w:pPr>
        <w:pStyle w:val="TextBody"/>
        <w:rPr/>
      </w:pPr>
      <w:r>
        <w:rPr/>
        <w:t>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пунктом 4 настоящей части, обязательные для исполнения предписания:</w:t>
      </w:r>
    </w:p>
    <w:p>
      <w:pPr>
        <w:pStyle w:val="TextBody"/>
        <w:rPr/>
      </w:pPr>
      <w:r>
        <w:rPr/>
        <w:t>а) об отмене или изменении актов, нарушающих антимонопольное законодательство;</w:t>
      </w:r>
    </w:p>
    <w:p>
      <w:pPr>
        <w:pStyle w:val="TextBody"/>
        <w:rPr/>
      </w:pPr>
      <w:r>
        <w:rPr/>
        <w:t>б) о прекращении или об изменении соглашений, нарушающих антимонопольное законодательство;</w:t>
      </w:r>
    </w:p>
    <w:p>
      <w:pPr>
        <w:pStyle w:val="TextBody"/>
        <w:rPr/>
      </w:pPr>
      <w:r>
        <w:rP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pPr>
        <w:pStyle w:val="TextBody"/>
        <w:rPr/>
      </w:pPr>
      <w:r>
        <w:rPr/>
        <w:t>г) о совершении действий, направленных на обеспечение конкуренции;</w:t>
      </w:r>
    </w:p>
    <w:p>
      <w:pPr>
        <w:pStyle w:val="TextBody"/>
        <w:rPr/>
      </w:pPr>
      <w:r>
        <w:rPr/>
        <w:t>3.1) выдает:</w:t>
      </w:r>
    </w:p>
    <w:p>
      <w:pPr>
        <w:pStyle w:val="TextBody"/>
        <w:rPr/>
      </w:pPr>
      <w:r>
        <w:rP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pPr>
        <w:pStyle w:val="TextBody"/>
        <w:rPr/>
      </w:pPr>
      <w:r>
        <w:rP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pPr>
        <w:pStyle w:val="TextBody"/>
        <w:rPr/>
      </w:pPr>
      <w:r>
        <w:rP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pPr>
        <w:pStyle w:val="TextBody"/>
        <w:rPr/>
      </w:pPr>
      <w:r>
        <w:rP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pPr>
        <w:pStyle w:val="TextBody"/>
        <w:rPr/>
      </w:pPr>
      <w:r>
        <w:rP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pPr>
        <w:pStyle w:val="TextBody"/>
        <w:rPr/>
      </w:pPr>
      <w:r>
        <w:rP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pPr>
        <w:pStyle w:val="TextBody"/>
        <w:rPr/>
      </w:pPr>
      <w:r>
        <w:rP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pPr>
        <w:pStyle w:val="TextBody"/>
        <w:rPr/>
      </w:pPr>
      <w:r>
        <w:rP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pPr>
        <w:pStyle w:val="TextBody"/>
        <w:rPr/>
      </w:pPr>
      <w:r>
        <w:rP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pPr>
        <w:pStyle w:val="TextBody"/>
        <w:rPr/>
      </w:pPr>
      <w:r>
        <w:rPr/>
        <w:t>6) обращается в арбитражный суд с исками, заявлениями о нарушении антимонопольного законодательства, в том числе с исками, заявлениями:</w:t>
      </w:r>
    </w:p>
    <w:p>
      <w:pPr>
        <w:pStyle w:val="TextBody"/>
        <w:rPr/>
      </w:pPr>
      <w:r>
        <w:rP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TextBody"/>
        <w:rPr/>
      </w:pPr>
      <w:r>
        <w:rPr/>
        <w:t>б) о признании недействительными полностью или частично договоров, не соответствующих антимонопольному законодательству;</w:t>
      </w:r>
    </w:p>
    <w:p>
      <w:pPr>
        <w:pStyle w:val="TextBody"/>
        <w:rPr/>
      </w:pPr>
      <w:r>
        <w:rPr/>
        <w:t>в) об обязательном заключении договора;</w:t>
      </w:r>
    </w:p>
    <w:p>
      <w:pPr>
        <w:pStyle w:val="TextBody"/>
        <w:rPr/>
      </w:pPr>
      <w:r>
        <w:rPr/>
        <w:t>г) об изменении или о расторжении договора;</w:t>
      </w:r>
    </w:p>
    <w:p>
      <w:pPr>
        <w:pStyle w:val="TextBody"/>
        <w:rPr/>
      </w:pPr>
      <w:r>
        <w:rPr/>
        <w:t>д) о ликвидации юридических лиц в случаях, предусмотренных антимонопольным законодательством;</w:t>
      </w:r>
    </w:p>
    <w:p>
      <w:pPr>
        <w:pStyle w:val="TextBody"/>
        <w:rPr/>
      </w:pPr>
      <w:r>
        <w:rPr/>
        <w:t>е) о взыскании в федеральный бюджет дохода, полученного вследствие нарушения антимонопольного законодательства;</w:t>
      </w:r>
    </w:p>
    <w:p>
      <w:pPr>
        <w:pStyle w:val="TextBody"/>
        <w:rPr/>
      </w:pPr>
      <w:r>
        <w:rPr/>
        <w:t>ж) о привлечении к ответственности за нарушение антимонопольного законодательства лиц, допустивших такое нарушение;</w:t>
      </w:r>
    </w:p>
    <w:p>
      <w:pPr>
        <w:pStyle w:val="TextBody"/>
        <w:rPr/>
      </w:pPr>
      <w:r>
        <w:rPr/>
        <w:t>з) о признании торгов недействительными;</w:t>
      </w:r>
    </w:p>
    <w:p>
      <w:pPr>
        <w:pStyle w:val="TextBody"/>
        <w:rPr/>
      </w:pPr>
      <w:r>
        <w:rPr/>
        <w:t>и) о понуждении к исполнению решений и предписаний антимонопольного органа;</w:t>
      </w:r>
    </w:p>
    <w:p>
      <w:pPr>
        <w:pStyle w:val="TextBody"/>
        <w:rPr/>
      </w:pPr>
      <w:r>
        <w:rPr/>
        <w:t>7) участвует в рассмотрении судом или арбитражным судом дел, связанных с применением и (или) нарушением антимонопольного законодательства;</w:t>
      </w:r>
    </w:p>
    <w:p>
      <w:pPr>
        <w:pStyle w:val="TextBody"/>
        <w:rPr/>
      </w:pPr>
      <w:r>
        <w:rPr/>
        <w:t>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w:t>
      </w:r>
    </w:p>
    <w:p>
      <w:pPr>
        <w:pStyle w:val="TextBody"/>
        <w:rPr/>
      </w:pPr>
      <w:r>
        <w:rP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pPr>
        <w:pStyle w:val="TextBody"/>
        <w:rPr/>
      </w:pPr>
      <w:r>
        <w:rP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pPr>
        <w:pStyle w:val="TextBody"/>
        <w:rPr/>
      </w:pPr>
      <w:r>
        <w:rP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pPr>
        <w:pStyle w:val="TextBody"/>
        <w:rPr/>
      </w:pPr>
      <w:r>
        <w:rP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pPr>
        <w:pStyle w:val="TextBody"/>
        <w:rPr/>
      </w:pPr>
      <w:r>
        <w:rPr/>
        <w:t>12.1) осуществляет контроль за предоставлением и использованием государственных или муниципальных преференций;</w:t>
      </w:r>
    </w:p>
    <w:p>
      <w:pPr>
        <w:pStyle w:val="TextBody"/>
        <w:rPr/>
      </w:pPr>
      <w:r>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TextBody"/>
        <w:numPr>
          <w:ilvl w:val="0"/>
          <w:numId w:val="65"/>
        </w:numPr>
        <w:tabs>
          <w:tab w:val="left" w:pos="0" w:leader="none"/>
        </w:tabs>
        <w:ind w:left="707" w:hanging="283"/>
        <w:rPr/>
      </w:pPr>
      <w:r>
        <w:rPr/>
        <w:t xml:space="preserve">Наряду с указанными в части 1 настоящей статьи полномочиями федеральный антимонопольный орган осуществляет следующие полномочия: </w:t>
      </w:r>
    </w:p>
    <w:p>
      <w:pPr>
        <w:pStyle w:val="TextBody"/>
        <w:rPr/>
      </w:pPr>
      <w:r>
        <w:rPr/>
        <w:t>1) утверждает формы представления в антимонопольный орган сведений при осуществлении сделок и (или) действий, предусмотренных статьей 32 настоящего Федерального закона;</w:t>
      </w:r>
    </w:p>
    <w:p>
      <w:pPr>
        <w:pStyle w:val="TextBody"/>
        <w:rPr/>
      </w:pPr>
      <w:r>
        <w:rPr/>
        <w:t>2) утверждает по согласованию с Центральным банком Российской Федерации методику определения необоснованно высокой и необоснованно низкой цены услуги кредитной организации;</w:t>
      </w:r>
    </w:p>
    <w:p>
      <w:pPr>
        <w:pStyle w:val="TextBody"/>
        <w:rPr/>
      </w:pPr>
      <w:r>
        <w:rP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pPr>
        <w:pStyle w:val="TextBody"/>
        <w:rPr/>
      </w:pPr>
      <w:r>
        <w:rPr/>
        <w:t>4) издает нормативные правовые акты, предусмотренные настоящим Федеральным законом;</w:t>
      </w:r>
    </w:p>
    <w:p>
      <w:pPr>
        <w:pStyle w:val="TextBody"/>
        <w:rPr/>
      </w:pPr>
      <w:r>
        <w:rPr/>
        <w:t>5) дает разъяснения по вопросам применения им антимонопольного законодательства;</w:t>
      </w:r>
    </w:p>
    <w:p>
      <w:pPr>
        <w:pStyle w:val="TextBody"/>
        <w:rPr/>
      </w:pPr>
      <w:r>
        <w:rP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pPr>
        <w:pStyle w:val="TextBody"/>
        <w:rPr/>
      </w:pPr>
      <w:r>
        <w:rP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pPr>
        <w:pStyle w:val="TextBody"/>
        <w:rPr/>
      </w:pPr>
      <w:r>
        <w:rP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pPr>
        <w:pStyle w:val="TextBody"/>
        <w:rPr/>
      </w:pPr>
      <w:r>
        <w:rPr/>
        <w:t>9) обобщает и анализирует практику применения антимонопольного законодательства, разрабатывает рекомендации по его применению;</w:t>
      </w:r>
    </w:p>
    <w:p>
      <w:pPr>
        <w:pStyle w:val="TextBody"/>
        <w:rPr/>
      </w:pPr>
      <w:r>
        <w:rP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pPr>
        <w:pStyle w:val="TextBody"/>
        <w:numPr>
          <w:ilvl w:val="0"/>
          <w:numId w:val="66"/>
        </w:numPr>
        <w:tabs>
          <w:tab w:val="left" w:pos="0" w:leader="none"/>
        </w:tabs>
        <w:spacing w:before="0" w:after="0"/>
        <w:ind w:left="707" w:hanging="283"/>
        <w:rPr/>
      </w:pPr>
      <w:r>
        <w:rPr/>
        <w:t xml:space="preserve">Для решения вопросов, указанных в части 4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 </w:t>
      </w:r>
    </w:p>
    <w:p>
      <w:pPr>
        <w:pStyle w:val="TextBody"/>
        <w:numPr>
          <w:ilvl w:val="0"/>
          <w:numId w:val="66"/>
        </w:numPr>
        <w:tabs>
          <w:tab w:val="left" w:pos="0" w:leader="none"/>
        </w:tabs>
        <w:ind w:left="707" w:hanging="283"/>
        <w:rPr/>
      </w:pPr>
      <w:r>
        <w:rPr/>
        <w:t xml:space="preserve">Коллегиальные органы: </w:t>
      </w:r>
    </w:p>
    <w:p>
      <w:pPr>
        <w:pStyle w:val="TextBody"/>
        <w:rPr/>
      </w:pPr>
      <w:r>
        <w:rP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pPr>
        <w:pStyle w:val="TextBody"/>
        <w:rPr/>
      </w:pPr>
      <w:r>
        <w:rP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pPr>
        <w:pStyle w:val="TextBody"/>
        <w:numPr>
          <w:ilvl w:val="0"/>
          <w:numId w:val="67"/>
        </w:numPr>
        <w:tabs>
          <w:tab w:val="left" w:pos="0" w:leader="none"/>
        </w:tabs>
        <w:spacing w:before="0" w:after="0"/>
        <w:ind w:left="707" w:hanging="283"/>
        <w:rPr/>
      </w:pPr>
      <w:r>
        <w:rPr/>
        <w:t xml:space="preserve">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 </w:t>
      </w:r>
    </w:p>
    <w:p>
      <w:pPr>
        <w:pStyle w:val="TextBody"/>
        <w:numPr>
          <w:ilvl w:val="0"/>
          <w:numId w:val="67"/>
        </w:numPr>
        <w:tabs>
          <w:tab w:val="left" w:pos="0" w:leader="none"/>
        </w:tabs>
        <w:spacing w:before="0" w:after="0"/>
        <w:ind w:left="707" w:hanging="283"/>
        <w:rPr/>
      </w:pPr>
      <w:r>
        <w:rPr/>
        <w:t xml:space="preserve">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 </w:t>
      </w:r>
    </w:p>
    <w:p>
      <w:pPr>
        <w:pStyle w:val="TextBody"/>
        <w:numPr>
          <w:ilvl w:val="0"/>
          <w:numId w:val="67"/>
        </w:numPr>
        <w:tabs>
          <w:tab w:val="left" w:pos="0" w:leader="none"/>
        </w:tabs>
        <w:spacing w:before="0" w:after="0"/>
        <w:ind w:left="707" w:hanging="283"/>
        <w:rPr/>
      </w:pPr>
      <w:r>
        <w:rPr/>
        <w:t xml:space="preserve">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 </w:t>
      </w:r>
    </w:p>
    <w:p>
      <w:pPr>
        <w:pStyle w:val="TextBody"/>
        <w:numPr>
          <w:ilvl w:val="0"/>
          <w:numId w:val="67"/>
        </w:numPr>
        <w:tabs>
          <w:tab w:val="left" w:pos="0" w:leader="none"/>
        </w:tabs>
        <w:spacing w:before="0" w:after="0"/>
        <w:ind w:left="707" w:hanging="283"/>
        <w:rPr/>
      </w:pPr>
      <w:r>
        <w:rPr/>
        <w:t xml:space="preserve">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 </w:t>
      </w:r>
    </w:p>
    <w:p>
      <w:pPr>
        <w:pStyle w:val="TextBody"/>
        <w:numPr>
          <w:ilvl w:val="0"/>
          <w:numId w:val="67"/>
        </w:numPr>
        <w:tabs>
          <w:tab w:val="left" w:pos="0" w:leader="none"/>
        </w:tabs>
        <w:spacing w:before="0" w:after="0"/>
        <w:ind w:left="707" w:hanging="283"/>
        <w:rPr/>
      </w:pPr>
      <w:r>
        <w:rPr/>
        <w:t xml:space="preserve">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 </w:t>
      </w:r>
    </w:p>
    <w:p>
      <w:pPr>
        <w:pStyle w:val="TextBody"/>
        <w:numPr>
          <w:ilvl w:val="0"/>
          <w:numId w:val="67"/>
        </w:numPr>
        <w:tabs>
          <w:tab w:val="left" w:pos="0" w:leader="none"/>
        </w:tabs>
        <w:ind w:left="707" w:hanging="283"/>
        <w:rPr/>
      </w:pPr>
      <w:r>
        <w:rPr/>
        <w:t xml:space="preserve">По итогам рассмотрения жалобы на решение и (или) предписание территориального антимонопольного органа коллегиальный орган вправе: </w:t>
      </w:r>
    </w:p>
    <w:p>
      <w:pPr>
        <w:pStyle w:val="TextBody"/>
        <w:rPr/>
      </w:pPr>
      <w:r>
        <w:rPr/>
        <w:t>1) оставить жалобу без удовлетворения;</w:t>
      </w:r>
    </w:p>
    <w:p>
      <w:pPr>
        <w:pStyle w:val="TextBody"/>
        <w:rPr/>
      </w:pPr>
      <w:r>
        <w:rPr/>
        <w:t>2) отменить решение и (или) предписание территориального антимонопольного органа;</w:t>
      </w:r>
    </w:p>
    <w:p>
      <w:pPr>
        <w:pStyle w:val="TextBody"/>
        <w:rPr/>
      </w:pPr>
      <w:r>
        <w:rPr/>
        <w:t>3) изменить решение и (или) предписание территориального антимонопольного органа.</w:t>
      </w:r>
    </w:p>
    <w:p>
      <w:pPr>
        <w:pStyle w:val="TextBody"/>
        <w:rPr/>
      </w:pPr>
      <w:r>
        <w:rPr/>
        <w:t>(часть 10 введена Федеральным законом от 05.10.2015 N 275-ФЗ)</w:t>
      </w:r>
    </w:p>
    <w:p>
      <w:pPr>
        <w:pStyle w:val="TextBody"/>
        <w:numPr>
          <w:ilvl w:val="0"/>
          <w:numId w:val="68"/>
        </w:numPr>
        <w:tabs>
          <w:tab w:val="left" w:pos="0" w:leader="none"/>
        </w:tabs>
        <w:spacing w:before="0" w:after="0"/>
        <w:ind w:left="707" w:hanging="283"/>
        <w:rPr/>
      </w:pPr>
      <w:r>
        <w:rPr/>
        <w:t xml:space="preserve">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 </w:t>
      </w:r>
    </w:p>
    <w:p>
      <w:pPr>
        <w:pStyle w:val="TextBody"/>
        <w:numPr>
          <w:ilvl w:val="0"/>
          <w:numId w:val="68"/>
        </w:numPr>
        <w:tabs>
          <w:tab w:val="left" w:pos="0" w:leader="none"/>
        </w:tabs>
        <w:spacing w:before="0" w:after="0"/>
        <w:ind w:left="707" w:hanging="283"/>
        <w:rPr/>
      </w:pPr>
      <w:r>
        <w:rPr/>
        <w:t xml:space="preserve">Коллегиальный орган правомочен принимать решения при наличии не менее половины от его состава. </w:t>
      </w:r>
    </w:p>
    <w:p>
      <w:pPr>
        <w:pStyle w:val="TextBody"/>
        <w:numPr>
          <w:ilvl w:val="0"/>
          <w:numId w:val="68"/>
        </w:numPr>
        <w:tabs>
          <w:tab w:val="left" w:pos="0" w:leader="none"/>
        </w:tabs>
        <w:spacing w:before="0" w:after="0"/>
        <w:ind w:left="707" w:hanging="283"/>
        <w:rPr/>
      </w:pPr>
      <w:r>
        <w:rPr/>
        <w:t xml:space="preserve">Решения коллегиального органа должны быть мотивированы. </w:t>
      </w:r>
    </w:p>
    <w:p>
      <w:pPr>
        <w:pStyle w:val="TextBody"/>
        <w:numPr>
          <w:ilvl w:val="0"/>
          <w:numId w:val="68"/>
        </w:numPr>
        <w:tabs>
          <w:tab w:val="left" w:pos="0" w:leader="none"/>
        </w:tabs>
        <w:spacing w:before="0" w:after="0"/>
        <w:ind w:left="707" w:hanging="283"/>
        <w:rPr/>
      </w:pPr>
      <w:r>
        <w:rPr/>
        <w:t xml:space="preserve">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 </w:t>
      </w:r>
    </w:p>
    <w:p>
      <w:pPr>
        <w:pStyle w:val="TextBody"/>
        <w:numPr>
          <w:ilvl w:val="0"/>
          <w:numId w:val="68"/>
        </w:numPr>
        <w:tabs>
          <w:tab w:val="left" w:pos="0" w:leader="none"/>
        </w:tabs>
        <w:spacing w:before="0" w:after="0"/>
        <w:ind w:left="707" w:hanging="283"/>
        <w:rPr/>
      </w:pPr>
      <w:r>
        <w:rPr/>
        <w:t xml:space="preserve">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 </w:t>
      </w:r>
    </w:p>
    <w:p>
      <w:pPr>
        <w:pStyle w:val="TextBody"/>
        <w:numPr>
          <w:ilvl w:val="0"/>
          <w:numId w:val="68"/>
        </w:numPr>
        <w:tabs>
          <w:tab w:val="left" w:pos="0" w:leader="none"/>
        </w:tabs>
        <w:ind w:left="707" w:hanging="283"/>
        <w:rPr/>
      </w:pPr>
      <w:r>
        <w:rPr/>
        <w:t xml:space="preserve">Порядок работы коллегиальных органов определяется федеральным антимонопольным органом. </w:t>
      </w:r>
    </w:p>
    <w:p>
      <w:pPr>
        <w:pStyle w:val="TextBody"/>
        <w:rPr/>
      </w:pPr>
      <w:r>
        <w:rPr>
          <w:rStyle w:val="StrongEmphasis"/>
        </w:rPr>
        <w:t>Статья 24. Права работников антимонопольного органа при осуществлении контроля за соблюдением антимонопольного законодательства</w:t>
      </w:r>
    </w:p>
    <w:p>
      <w:pPr>
        <w:pStyle w:val="TextBody"/>
        <w:rPr/>
      </w:pPr>
      <w:r>
        <w:rPr/>
        <w:t>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приказа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pPr>
        <w:pStyle w:val="TextBody"/>
        <w:rPr/>
      </w:pPr>
      <w:r>
        <w:rPr>
          <w:rStyle w:val="StrongEmphasis"/>
        </w:rPr>
        <w:t>Статья 25. Обязанность представления информации в антимонопольный орган</w:t>
      </w:r>
    </w:p>
    <w:p>
      <w:pPr>
        <w:pStyle w:val="TextBody"/>
        <w:numPr>
          <w:ilvl w:val="0"/>
          <w:numId w:val="69"/>
        </w:numPr>
        <w:tabs>
          <w:tab w:val="left" w:pos="0" w:leader="none"/>
        </w:tabs>
        <w:spacing w:before="0" w:after="0"/>
        <w:ind w:left="707" w:hanging="283"/>
        <w:rPr/>
      </w:pPr>
      <w:r>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 </w:t>
      </w:r>
    </w:p>
    <w:p>
      <w:pPr>
        <w:pStyle w:val="TextBody"/>
        <w:numPr>
          <w:ilvl w:val="0"/>
          <w:numId w:val="69"/>
        </w:numPr>
        <w:tabs>
          <w:tab w:val="left" w:pos="0" w:leader="none"/>
        </w:tabs>
        <w:spacing w:before="0" w:after="0"/>
        <w:ind w:left="707" w:hanging="283"/>
        <w:rPr/>
      </w:pPr>
      <w:r>
        <w:rPr/>
        <w:t xml:space="preserve">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 </w:t>
      </w:r>
    </w:p>
    <w:p>
      <w:pPr>
        <w:pStyle w:val="TextBody"/>
        <w:numPr>
          <w:ilvl w:val="0"/>
          <w:numId w:val="69"/>
        </w:numPr>
        <w:tabs>
          <w:tab w:val="left" w:pos="0" w:leader="none"/>
        </w:tabs>
        <w:ind w:left="707" w:hanging="283"/>
        <w:rPr/>
      </w:pPr>
      <w:r>
        <w:rPr/>
        <w:t xml:space="preserve">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 </w:t>
      </w:r>
    </w:p>
    <w:p>
      <w:pPr>
        <w:pStyle w:val="TextBody"/>
        <w:rPr/>
      </w:pPr>
      <w:r>
        <w:rPr>
          <w:rStyle w:val="StrongEmphasis"/>
        </w:rPr>
        <w:t>Статья 25.1. Проведение проверок антимонопольным органом</w:t>
      </w:r>
    </w:p>
    <w:p>
      <w:pPr>
        <w:pStyle w:val="TextBody"/>
        <w:numPr>
          <w:ilvl w:val="0"/>
          <w:numId w:val="70"/>
        </w:numPr>
        <w:tabs>
          <w:tab w:val="left" w:pos="0" w:leader="none"/>
        </w:tabs>
        <w:spacing w:before="0" w:after="0"/>
        <w:ind w:left="707" w:hanging="283"/>
        <w:rPr/>
      </w:pPr>
      <w:r>
        <w:rPr/>
        <w:t xml:space="preserve">В целях осуществления контроля за соблюдением антимонопольного законодательства антимонопольный орган вправе проводить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статей 10, 11, 14 - 17.1, 19 - 21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 </w:t>
      </w:r>
    </w:p>
    <w:p>
      <w:pPr>
        <w:pStyle w:val="TextBody"/>
        <w:numPr>
          <w:ilvl w:val="0"/>
          <w:numId w:val="70"/>
        </w:numPr>
        <w:tabs>
          <w:tab w:val="left" w:pos="0" w:leader="none"/>
        </w:tabs>
        <w:ind w:left="707" w:hanging="283"/>
        <w:rPr/>
      </w:pPr>
      <w:r>
        <w:rPr/>
        <w:t xml:space="preserve">Основанием проведения плановой проверки является истечение трех лет со дня: </w:t>
      </w:r>
    </w:p>
    <w:p>
      <w:pPr>
        <w:pStyle w:val="TextBody"/>
        <w:rPr/>
      </w:pPr>
      <w:r>
        <w:rP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pPr>
        <w:pStyle w:val="TextBody"/>
        <w:rPr/>
      </w:pPr>
      <w:r>
        <w:rPr/>
        <w:t>2) окончания проведения антимонопольным органом последней плановой проверки проверяемого лица.</w:t>
      </w:r>
    </w:p>
    <w:p>
      <w:pPr>
        <w:pStyle w:val="TextBody"/>
        <w:numPr>
          <w:ilvl w:val="0"/>
          <w:numId w:val="71"/>
        </w:numPr>
        <w:tabs>
          <w:tab w:val="left" w:pos="0" w:leader="none"/>
        </w:tabs>
        <w:spacing w:before="0" w:after="0"/>
        <w:ind w:left="707" w:hanging="283"/>
        <w:rPr/>
      </w:pPr>
      <w:r>
        <w:rPr/>
        <w:t xml:space="preserve">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 </w:t>
      </w:r>
    </w:p>
    <w:p>
      <w:pPr>
        <w:pStyle w:val="TextBody"/>
        <w:numPr>
          <w:ilvl w:val="0"/>
          <w:numId w:val="71"/>
        </w:numPr>
        <w:tabs>
          <w:tab w:val="left" w:pos="0" w:leader="none"/>
        </w:tabs>
        <w:ind w:left="707" w:hanging="283"/>
        <w:rPr/>
      </w:pPr>
      <w:r>
        <w:rPr/>
        <w:t xml:space="preserve">Основаниями для проведения внеплановой проверки являются: </w:t>
      </w:r>
    </w:p>
    <w:p>
      <w:pPr>
        <w:pStyle w:val="TextBody"/>
        <w:rPr/>
      </w:pPr>
      <w:r>
        <w:rP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pPr>
        <w:pStyle w:val="TextBody"/>
        <w:rPr/>
      </w:pPr>
      <w:r>
        <w:rP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pPr>
        <w:pStyle w:val="TextBody"/>
        <w:rPr/>
      </w:pPr>
      <w:r>
        <w:rPr/>
        <w:t>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w:t>
      </w:r>
    </w:p>
    <w:p>
      <w:pPr>
        <w:pStyle w:val="TextBody"/>
        <w:rPr/>
      </w:pPr>
      <w:r>
        <w:rPr/>
        <w:t>4) поручения Президента Российской Федерации и Правительства Российской Федерации;</w:t>
      </w:r>
    </w:p>
    <w:p>
      <w:pPr>
        <w:pStyle w:val="TextBody"/>
        <w:rPr/>
      </w:pPr>
      <w:r>
        <w:rPr/>
        <w:t>5) обнаружение антимонопольным органом признаков нарушения антимонопольного законодательства.</w:t>
      </w:r>
    </w:p>
    <w:p>
      <w:pPr>
        <w:pStyle w:val="TextBody"/>
        <w:numPr>
          <w:ilvl w:val="0"/>
          <w:numId w:val="72"/>
        </w:numPr>
        <w:tabs>
          <w:tab w:val="left" w:pos="0" w:leader="none"/>
        </w:tabs>
        <w:ind w:left="707" w:hanging="283"/>
        <w:rPr/>
      </w:pPr>
      <w:r>
        <w:rPr/>
        <w:t xml:space="preserve">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пункт 3 части 4 настоящей статьи, исполнение ранее выданного предписания. </w:t>
      </w:r>
    </w:p>
    <w:p>
      <w:pPr>
        <w:pStyle w:val="TextBody"/>
        <w:rPr/>
      </w:pPr>
      <w:r>
        <w:rPr/>
        <w:t>5.1. По основаниям, указанным в пунктах 2 и 5 части 4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частью 1 статьи 11 настоящего Федерального закона.</w:t>
      </w:r>
    </w:p>
    <w:p>
      <w:pPr>
        <w:pStyle w:val="TextBody"/>
        <w:numPr>
          <w:ilvl w:val="0"/>
          <w:numId w:val="73"/>
        </w:numPr>
        <w:tabs>
          <w:tab w:val="left" w:pos="0" w:leader="none"/>
        </w:tabs>
        <w:spacing w:before="0" w:after="0"/>
        <w:ind w:left="707" w:hanging="283"/>
        <w:rPr/>
      </w:pPr>
      <w:r>
        <w:rPr/>
        <w:t xml:space="preserve">Проверка проводится в соответствии с приказом руководителя антимонопольного органа. </w:t>
      </w:r>
    </w:p>
    <w:p>
      <w:pPr>
        <w:pStyle w:val="TextBody"/>
        <w:numPr>
          <w:ilvl w:val="0"/>
          <w:numId w:val="73"/>
        </w:numPr>
        <w:tabs>
          <w:tab w:val="left" w:pos="0" w:leader="none"/>
        </w:tabs>
        <w:ind w:left="707" w:hanging="283"/>
        <w:rPr/>
      </w:pPr>
      <w:r>
        <w:rPr/>
        <w:t xml:space="preserve">Приказ руководителя антимонопольного органа о проведении проверки должен содержать следующие сведения: </w:t>
      </w:r>
    </w:p>
    <w:p>
      <w:pPr>
        <w:pStyle w:val="TextBody"/>
        <w:rPr/>
      </w:pPr>
      <w:r>
        <w:rPr/>
        <w:t>1) наименование антимонопольного органа;</w:t>
      </w:r>
    </w:p>
    <w:p>
      <w:pPr>
        <w:pStyle w:val="TextBody"/>
        <w:rPr/>
      </w:pPr>
      <w:r>
        <w:rP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pPr>
        <w:pStyle w:val="TextBody"/>
        <w:rPr/>
      </w:pPr>
      <w:r>
        <w:rP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pPr>
        <w:pStyle w:val="TextBody"/>
        <w:rPr/>
      </w:pPr>
      <w:r>
        <w:rPr/>
        <w:t>4) цели, задачи, предмет проверки и срок ее проведения;</w:t>
      </w:r>
    </w:p>
    <w:p>
      <w:pPr>
        <w:pStyle w:val="TextBody"/>
        <w:rPr/>
      </w:pPr>
      <w:r>
        <w:rPr/>
        <w:t>5) правовые основания проведения проверки;</w:t>
      </w:r>
    </w:p>
    <w:p>
      <w:pPr>
        <w:pStyle w:val="TextBody"/>
        <w:rPr/>
      </w:pPr>
      <w:r>
        <w:rPr/>
        <w:t>6) сроки проведения и перечень мероприятий по контролю, необходимых для достижения целей и задач проведения проверки;</w:t>
      </w:r>
    </w:p>
    <w:p>
      <w:pPr>
        <w:pStyle w:val="TextBody"/>
        <w:rPr/>
      </w:pPr>
      <w:r>
        <w:rPr/>
        <w:t>7) перечень административных регламентов проведения мероприятий по контролю;</w:t>
      </w:r>
    </w:p>
    <w:p>
      <w:pPr>
        <w:pStyle w:val="TextBody"/>
        <w:rPr/>
      </w:pPr>
      <w:r>
        <w:rPr/>
        <w:t>8) даты начала и окончания проведения проверки.</w:t>
      </w:r>
    </w:p>
    <w:p>
      <w:pPr>
        <w:pStyle w:val="TextBody"/>
        <w:numPr>
          <w:ilvl w:val="0"/>
          <w:numId w:val="74"/>
        </w:numPr>
        <w:tabs>
          <w:tab w:val="left" w:pos="0" w:leader="none"/>
        </w:tabs>
        <w:spacing w:before="0" w:after="0"/>
        <w:ind w:left="707" w:hanging="283"/>
        <w:rPr/>
      </w:pPr>
      <w:r>
        <w:rPr/>
        <w:t xml:space="preserve">Типовая форма приказа о проведении проверки утверждается федеральным антимонопольным органом. </w:t>
      </w:r>
    </w:p>
    <w:p>
      <w:pPr>
        <w:pStyle w:val="TextBody"/>
        <w:numPr>
          <w:ilvl w:val="0"/>
          <w:numId w:val="74"/>
        </w:numPr>
        <w:tabs>
          <w:tab w:val="left" w:pos="0" w:leader="none"/>
        </w:tabs>
        <w:spacing w:before="0" w:after="0"/>
        <w:ind w:left="707" w:hanging="283"/>
        <w:rPr/>
      </w:pPr>
      <w:r>
        <w:rPr/>
        <w:t xml:space="preserve">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 </w:t>
      </w:r>
    </w:p>
    <w:p>
      <w:pPr>
        <w:pStyle w:val="TextBody"/>
        <w:numPr>
          <w:ilvl w:val="0"/>
          <w:numId w:val="74"/>
        </w:numPr>
        <w:tabs>
          <w:tab w:val="left" w:pos="0" w:leader="none"/>
        </w:tabs>
        <w:spacing w:before="0" w:after="0"/>
        <w:ind w:left="707" w:hanging="283"/>
        <w:rPr/>
      </w:pPr>
      <w:r>
        <w:rPr/>
        <w:t xml:space="preserve">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 </w:t>
      </w:r>
    </w:p>
    <w:p>
      <w:pPr>
        <w:pStyle w:val="TextBody"/>
        <w:numPr>
          <w:ilvl w:val="0"/>
          <w:numId w:val="74"/>
        </w:numPr>
        <w:tabs>
          <w:tab w:val="left" w:pos="0" w:leader="none"/>
        </w:tabs>
        <w:spacing w:before="0" w:after="0"/>
        <w:ind w:left="707" w:hanging="283"/>
        <w:rPr/>
      </w:pPr>
      <w:r>
        <w:rPr/>
        <w:t xml:space="preserve">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 </w:t>
      </w:r>
    </w:p>
    <w:p>
      <w:pPr>
        <w:pStyle w:val="TextBody"/>
        <w:numPr>
          <w:ilvl w:val="0"/>
          <w:numId w:val="74"/>
        </w:numPr>
        <w:tabs>
          <w:tab w:val="left" w:pos="0" w:leader="none"/>
        </w:tabs>
        <w:spacing w:before="0" w:after="0"/>
        <w:ind w:left="707" w:hanging="283"/>
        <w:rPr/>
      </w:pPr>
      <w:r>
        <w:rPr/>
        <w:t xml:space="preserve">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 </w:t>
      </w:r>
    </w:p>
    <w:p>
      <w:pPr>
        <w:pStyle w:val="TextBody"/>
        <w:numPr>
          <w:ilvl w:val="0"/>
          <w:numId w:val="74"/>
        </w:numPr>
        <w:tabs>
          <w:tab w:val="left" w:pos="0" w:leader="none"/>
        </w:tabs>
        <w:spacing w:before="0" w:after="0"/>
        <w:ind w:left="707" w:hanging="283"/>
        <w:rPr/>
      </w:pPr>
      <w:r>
        <w:rPr/>
        <w:t xml:space="preserve">Проверяемое лицо уведомляется о проведении внеплановой проверки не менее чем за двадцать четыре часа до начала ее проведения любым доступным способом. </w:t>
      </w:r>
    </w:p>
    <w:p>
      <w:pPr>
        <w:pStyle w:val="TextBody"/>
        <w:numPr>
          <w:ilvl w:val="0"/>
          <w:numId w:val="74"/>
        </w:numPr>
        <w:tabs>
          <w:tab w:val="left" w:pos="0" w:leader="none"/>
        </w:tabs>
        <w:spacing w:before="0" w:after="0"/>
        <w:ind w:left="707" w:hanging="283"/>
        <w:rPr/>
      </w:pPr>
      <w:r>
        <w:rPr/>
        <w:t xml:space="preserve">Предварительное уведомление проверяемого лица о начале проведения внеплановой проверки в случае проверки соблюдения требований статей 11 и 16 настоящего Федерального закона не допускается. </w:t>
      </w:r>
    </w:p>
    <w:p>
      <w:pPr>
        <w:pStyle w:val="TextBody"/>
        <w:numPr>
          <w:ilvl w:val="0"/>
          <w:numId w:val="74"/>
        </w:numPr>
        <w:tabs>
          <w:tab w:val="left" w:pos="0" w:leader="none"/>
        </w:tabs>
        <w:ind w:left="707" w:hanging="283"/>
        <w:rPr/>
      </w:pPr>
      <w:r>
        <w:rPr/>
        <w:t xml:space="preserve">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w:t>
      </w:r>
    </w:p>
    <w:p>
      <w:pPr>
        <w:pStyle w:val="TextBody"/>
        <w:rPr/>
      </w:pPr>
      <w:r>
        <w:rPr>
          <w:rStyle w:val="StrongEmphasis"/>
        </w:rPr>
        <w:t>Статья 25.2. Доступ должностных лиц антимонопольного органа на территорию или в помещение для проведения проверки</w:t>
      </w:r>
    </w:p>
    <w:p>
      <w:pPr>
        <w:pStyle w:val="TextBody"/>
        <w:numPr>
          <w:ilvl w:val="0"/>
          <w:numId w:val="75"/>
        </w:numPr>
        <w:tabs>
          <w:tab w:val="left" w:pos="0" w:leader="none"/>
        </w:tabs>
        <w:spacing w:before="0" w:after="0"/>
        <w:ind w:left="707" w:hanging="283"/>
        <w:rPr/>
      </w:pPr>
      <w:r>
        <w:rPr/>
        <w:t xml:space="preserve">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 </w:t>
      </w:r>
    </w:p>
    <w:p>
      <w:pPr>
        <w:pStyle w:val="TextBody"/>
        <w:numPr>
          <w:ilvl w:val="0"/>
          <w:numId w:val="75"/>
        </w:numPr>
        <w:tabs>
          <w:tab w:val="left" w:pos="0" w:leader="none"/>
        </w:tabs>
        <w:spacing w:before="0" w:after="0"/>
        <w:ind w:left="707" w:hanging="283"/>
        <w:rPr/>
      </w:pPr>
      <w:r>
        <w:rPr/>
        <w:t xml:space="preserve">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 </w:t>
      </w:r>
    </w:p>
    <w:p>
      <w:pPr>
        <w:pStyle w:val="TextBody"/>
        <w:numPr>
          <w:ilvl w:val="0"/>
          <w:numId w:val="75"/>
        </w:numPr>
        <w:tabs>
          <w:tab w:val="left" w:pos="0" w:leader="none"/>
        </w:tabs>
        <w:ind w:left="707" w:hanging="283"/>
        <w:rPr/>
      </w:pPr>
      <w:r>
        <w:rPr/>
        <w:t xml:space="preserve">Форма акта утверждается федеральным антимонопольным органом. </w:t>
      </w:r>
    </w:p>
    <w:p>
      <w:pPr>
        <w:pStyle w:val="TextBody"/>
        <w:rPr/>
      </w:pPr>
      <w:r>
        <w:rPr>
          <w:rStyle w:val="StrongEmphasis"/>
        </w:rPr>
        <w:t>Статья 25.3. Осмотр</w:t>
      </w:r>
    </w:p>
    <w:p>
      <w:pPr>
        <w:pStyle w:val="TextBody"/>
        <w:numPr>
          <w:ilvl w:val="0"/>
          <w:numId w:val="76"/>
        </w:numPr>
        <w:tabs>
          <w:tab w:val="left" w:pos="0" w:leader="none"/>
        </w:tabs>
        <w:spacing w:before="0" w:after="0"/>
        <w:ind w:left="707" w:hanging="283"/>
        <w:rPr/>
      </w:pPr>
      <w:r>
        <w:rPr/>
        <w:t xml:space="preserve">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 </w:t>
      </w:r>
    </w:p>
    <w:p>
      <w:pPr>
        <w:pStyle w:val="TextBody"/>
        <w:numPr>
          <w:ilvl w:val="0"/>
          <w:numId w:val="76"/>
        </w:numPr>
        <w:tabs>
          <w:tab w:val="left" w:pos="0" w:leader="none"/>
        </w:tabs>
        <w:spacing w:before="0" w:after="0"/>
        <w:ind w:left="707" w:hanging="283"/>
        <w:rPr/>
      </w:pPr>
      <w:r>
        <w:rPr/>
        <w:t xml:space="preserve">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 </w:t>
      </w:r>
    </w:p>
    <w:p>
      <w:pPr>
        <w:pStyle w:val="TextBody"/>
        <w:numPr>
          <w:ilvl w:val="0"/>
          <w:numId w:val="76"/>
        </w:numPr>
        <w:tabs>
          <w:tab w:val="left" w:pos="0" w:leader="none"/>
        </w:tabs>
        <w:spacing w:before="0" w:after="0"/>
        <w:ind w:left="707" w:hanging="283"/>
        <w:rPr/>
      </w:pPr>
      <w:r>
        <w:rPr/>
        <w:t xml:space="preserve">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 </w:t>
      </w:r>
    </w:p>
    <w:p>
      <w:pPr>
        <w:pStyle w:val="TextBody"/>
        <w:numPr>
          <w:ilvl w:val="0"/>
          <w:numId w:val="76"/>
        </w:numPr>
        <w:tabs>
          <w:tab w:val="left" w:pos="0" w:leader="none"/>
        </w:tabs>
        <w:ind w:left="707" w:hanging="283"/>
        <w:rPr/>
      </w:pPr>
      <w:r>
        <w:rPr/>
        <w:t xml:space="preserve">По результатам осуществления осмотра составляется протокол. Форма протокола утверждается федеральным антимонопольным органом. </w:t>
      </w:r>
    </w:p>
    <w:p>
      <w:pPr>
        <w:pStyle w:val="TextBody"/>
        <w:rPr/>
      </w:pPr>
      <w:r>
        <w:rPr>
          <w:rStyle w:val="StrongEmphasis"/>
        </w:rPr>
        <w:t>Статья 25.4. Истребование документов и информации при проведении проверки</w:t>
      </w:r>
    </w:p>
    <w:p>
      <w:pPr>
        <w:pStyle w:val="TextBody"/>
        <w:numPr>
          <w:ilvl w:val="0"/>
          <w:numId w:val="77"/>
        </w:numPr>
        <w:tabs>
          <w:tab w:val="left" w:pos="0" w:leader="none"/>
        </w:tabs>
        <w:spacing w:before="0" w:after="0"/>
        <w:ind w:left="707" w:hanging="283"/>
        <w:rPr/>
      </w:pPr>
      <w:r>
        <w:rPr/>
        <w:t xml:space="preserve">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 </w:t>
      </w:r>
    </w:p>
    <w:p>
      <w:pPr>
        <w:pStyle w:val="TextBody"/>
        <w:numPr>
          <w:ilvl w:val="0"/>
          <w:numId w:val="77"/>
        </w:numPr>
        <w:tabs>
          <w:tab w:val="left" w:pos="0" w:leader="none"/>
        </w:tabs>
        <w:spacing w:before="0" w:after="0"/>
        <w:ind w:left="707" w:hanging="283"/>
        <w:rPr/>
      </w:pPr>
      <w:r>
        <w:rPr/>
        <w:t xml:space="preserve">Истребуемые документы представляются в виде копий, заверенных в установленном законодательством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 </w:t>
      </w:r>
    </w:p>
    <w:p>
      <w:pPr>
        <w:pStyle w:val="TextBody"/>
        <w:numPr>
          <w:ilvl w:val="0"/>
          <w:numId w:val="77"/>
        </w:numPr>
        <w:tabs>
          <w:tab w:val="left" w:pos="0" w:leader="none"/>
        </w:tabs>
        <w:spacing w:before="0" w:after="0"/>
        <w:ind w:left="707" w:hanging="283"/>
        <w:rPr/>
      </w:pPr>
      <w:r>
        <w:rPr/>
        <w:t xml:space="preserve">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 </w:t>
      </w:r>
    </w:p>
    <w:p>
      <w:pPr>
        <w:pStyle w:val="TextBody"/>
        <w:numPr>
          <w:ilvl w:val="0"/>
          <w:numId w:val="77"/>
        </w:numPr>
        <w:tabs>
          <w:tab w:val="left" w:pos="0" w:leader="none"/>
        </w:tabs>
        <w:ind w:left="707" w:hanging="283"/>
        <w:rPr/>
      </w:pPr>
      <w:r>
        <w:rPr/>
        <w:t xml:space="preserve">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 </w:t>
      </w:r>
    </w:p>
    <w:p>
      <w:pPr>
        <w:pStyle w:val="TextBody"/>
        <w:rPr/>
      </w:pPr>
      <w:r>
        <w:rPr>
          <w:rStyle w:val="StrongEmphasis"/>
        </w:rPr>
        <w:t>Статья 25.5. Общие требования, предъявляемые к протоколу, составленному при проведении действий по осуществлению антимонопольного контроля</w:t>
      </w:r>
    </w:p>
    <w:p>
      <w:pPr>
        <w:pStyle w:val="TextBody"/>
        <w:numPr>
          <w:ilvl w:val="0"/>
          <w:numId w:val="78"/>
        </w:numPr>
        <w:tabs>
          <w:tab w:val="left" w:pos="0" w:leader="none"/>
        </w:tabs>
        <w:spacing w:before="0" w:after="0"/>
        <w:ind w:left="707" w:hanging="283"/>
        <w:rPr/>
      </w:pPr>
      <w:r>
        <w:rPr/>
        <w:t xml:space="preserve">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 </w:t>
      </w:r>
    </w:p>
    <w:p>
      <w:pPr>
        <w:pStyle w:val="TextBody"/>
        <w:numPr>
          <w:ilvl w:val="0"/>
          <w:numId w:val="78"/>
        </w:numPr>
        <w:tabs>
          <w:tab w:val="left" w:pos="0" w:leader="none"/>
        </w:tabs>
        <w:ind w:left="707" w:hanging="283"/>
        <w:rPr/>
      </w:pPr>
      <w:r>
        <w:rPr/>
        <w:t xml:space="preserve">В протоколе указываются: </w:t>
      </w:r>
    </w:p>
    <w:p>
      <w:pPr>
        <w:pStyle w:val="TextBody"/>
        <w:rPr/>
      </w:pPr>
      <w:r>
        <w:rPr/>
        <w:t>1) содержание действий;</w:t>
      </w:r>
    </w:p>
    <w:p>
      <w:pPr>
        <w:pStyle w:val="TextBody"/>
        <w:rPr/>
      </w:pPr>
      <w:r>
        <w:rPr/>
        <w:t>2) место и дата проведения действий;</w:t>
      </w:r>
    </w:p>
    <w:p>
      <w:pPr>
        <w:pStyle w:val="TextBody"/>
        <w:rPr/>
      </w:pPr>
      <w:r>
        <w:rPr/>
        <w:t>3) время начала и окончания проведения действий;</w:t>
      </w:r>
    </w:p>
    <w:p>
      <w:pPr>
        <w:pStyle w:val="TextBody"/>
        <w:rPr/>
      </w:pPr>
      <w:r>
        <w:rPr/>
        <w:t>4) должность, фамилия, имя, отчество лица, составившего протокол;</w:t>
      </w:r>
    </w:p>
    <w:p>
      <w:pPr>
        <w:pStyle w:val="TextBody"/>
        <w:rPr/>
      </w:pPr>
      <w:r>
        <w:rP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pPr>
        <w:pStyle w:val="TextBody"/>
        <w:rPr/>
      </w:pPr>
      <w:r>
        <w:rPr/>
        <w:t>6) содержание действий, последовательность их проведения;</w:t>
      </w:r>
    </w:p>
    <w:p>
      <w:pPr>
        <w:pStyle w:val="TextBody"/>
        <w:rPr/>
      </w:pPr>
      <w:r>
        <w:rPr/>
        <w:t>7) выявленные при проведении действий существенные факты и обстоятельства.</w:t>
      </w:r>
    </w:p>
    <w:p>
      <w:pPr>
        <w:pStyle w:val="TextBody"/>
        <w:numPr>
          <w:ilvl w:val="0"/>
          <w:numId w:val="79"/>
        </w:numPr>
        <w:tabs>
          <w:tab w:val="left" w:pos="0" w:leader="none"/>
        </w:tabs>
        <w:spacing w:before="0" w:after="0"/>
        <w:ind w:left="707" w:hanging="283"/>
        <w:rPr/>
      </w:pPr>
      <w:r>
        <w:rPr/>
        <w:t xml:space="preserve">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 </w:t>
      </w:r>
    </w:p>
    <w:p>
      <w:pPr>
        <w:pStyle w:val="TextBody"/>
        <w:numPr>
          <w:ilvl w:val="0"/>
          <w:numId w:val="79"/>
        </w:numPr>
        <w:tabs>
          <w:tab w:val="left" w:pos="0" w:leader="none"/>
        </w:tabs>
        <w:spacing w:before="0" w:after="0"/>
        <w:ind w:left="707" w:hanging="283"/>
        <w:rPr/>
      </w:pPr>
      <w:r>
        <w:rPr/>
        <w:t xml:space="preserve">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 </w:t>
      </w:r>
    </w:p>
    <w:p>
      <w:pPr>
        <w:pStyle w:val="TextBody"/>
        <w:numPr>
          <w:ilvl w:val="0"/>
          <w:numId w:val="79"/>
        </w:numPr>
        <w:tabs>
          <w:tab w:val="left" w:pos="0" w:leader="none"/>
        </w:tabs>
        <w:ind w:left="707" w:hanging="283"/>
        <w:rPr/>
      </w:pPr>
      <w:r>
        <w:rPr/>
        <w:t xml:space="preserve">К протоколу прилагаются фотографические снимки и негативы, киноленты, видеозаписи и другие материалы, выполненные при проведении действия. </w:t>
      </w:r>
    </w:p>
    <w:p>
      <w:pPr>
        <w:pStyle w:val="TextBody"/>
        <w:rPr/>
      </w:pPr>
      <w:r>
        <w:rPr>
          <w:rStyle w:val="StrongEmphasis"/>
        </w:rPr>
        <w:t>Статья 25.6. Оформление результатов проверки</w:t>
      </w:r>
    </w:p>
    <w:p>
      <w:pPr>
        <w:pStyle w:val="TextBody"/>
        <w:numPr>
          <w:ilvl w:val="0"/>
          <w:numId w:val="80"/>
        </w:numPr>
        <w:tabs>
          <w:tab w:val="left" w:pos="0" w:leader="none"/>
        </w:tabs>
        <w:ind w:left="707" w:hanging="283"/>
        <w:rPr/>
      </w:pPr>
      <w:r>
        <w:rPr/>
        <w:t xml:space="preserve">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 </w:t>
      </w:r>
    </w:p>
    <w:p>
      <w:pPr>
        <w:pStyle w:val="TextBody"/>
        <w:rPr/>
      </w:pPr>
      <w:r>
        <w:rPr/>
        <w:t>(часть 1 в ред. Федерального закона от 06.12.2011 N 401-ФЗ)</w:t>
      </w:r>
    </w:p>
    <w:p>
      <w:pPr>
        <w:pStyle w:val="TextBody"/>
        <w:numPr>
          <w:ilvl w:val="0"/>
          <w:numId w:val="81"/>
        </w:numPr>
        <w:tabs>
          <w:tab w:val="left" w:pos="0" w:leader="none"/>
        </w:tabs>
        <w:spacing w:before="0" w:after="0"/>
        <w:ind w:left="707" w:hanging="283"/>
        <w:rPr/>
      </w:pPr>
      <w:r>
        <w:rPr/>
        <w:t xml:space="preserve">Форма акта утверждается федеральным антимонопольным органом. </w:t>
      </w:r>
    </w:p>
    <w:p>
      <w:pPr>
        <w:pStyle w:val="TextBody"/>
        <w:numPr>
          <w:ilvl w:val="0"/>
          <w:numId w:val="81"/>
        </w:numPr>
        <w:tabs>
          <w:tab w:val="left" w:pos="0" w:leader="none"/>
        </w:tabs>
        <w:ind w:left="707" w:hanging="283"/>
        <w:rPr/>
      </w:pPr>
      <w:r>
        <w:rPr/>
        <w:t xml:space="preserve">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 </w:t>
      </w:r>
    </w:p>
    <w:p>
      <w:pPr>
        <w:pStyle w:val="TextBody"/>
        <w:rPr/>
      </w:pPr>
      <w:r>
        <w:rPr>
          <w:rStyle w:val="StrongEmphasis"/>
        </w:rPr>
        <w:t>Статья 25.7. Предостережение о недопустимости нарушения антимонопольного законодательства</w:t>
      </w:r>
    </w:p>
    <w:p>
      <w:pPr>
        <w:pStyle w:val="TextBody"/>
        <w:numPr>
          <w:ilvl w:val="0"/>
          <w:numId w:val="82"/>
        </w:numPr>
        <w:tabs>
          <w:tab w:val="left" w:pos="0" w:leader="none"/>
        </w:tabs>
        <w:ind w:left="707" w:hanging="283"/>
        <w:rPr/>
      </w:pPr>
      <w:r>
        <w:rPr/>
        <w:t xml:space="preserve">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 </w:t>
      </w:r>
    </w:p>
    <w:p>
      <w:pPr>
        <w:pStyle w:val="TextBody"/>
        <w:rPr/>
      </w:pPr>
      <w:r>
        <w:rPr/>
        <w:t>(в ред. Федерального закона от 05.10.2015 N 275-ФЗ)</w:t>
      </w:r>
    </w:p>
    <w:p>
      <w:pPr>
        <w:pStyle w:val="TextBody"/>
        <w:numPr>
          <w:ilvl w:val="0"/>
          <w:numId w:val="83"/>
        </w:numPr>
        <w:tabs>
          <w:tab w:val="left" w:pos="0" w:leader="none"/>
        </w:tabs>
        <w:ind w:left="707" w:hanging="283"/>
        <w:rPr/>
      </w:pPr>
      <w:r>
        <w:rPr/>
        <w:t xml:space="preserve">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 </w:t>
      </w:r>
    </w:p>
    <w:p>
      <w:pPr>
        <w:pStyle w:val="TextBody"/>
        <w:rPr/>
      </w:pPr>
      <w:r>
        <w:rP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pPr>
        <w:pStyle w:val="TextBody"/>
        <w:rPr/>
      </w:pPr>
      <w:r>
        <w:rPr/>
        <w:t>(часть 2.1 введена Федеральным законом от 05.10.2015 N 275-ФЗ)</w:t>
      </w:r>
    </w:p>
    <w:p>
      <w:pPr>
        <w:pStyle w:val="TextBody"/>
        <w:numPr>
          <w:ilvl w:val="0"/>
          <w:numId w:val="84"/>
        </w:numPr>
        <w:tabs>
          <w:tab w:val="left" w:pos="0" w:leader="none"/>
        </w:tabs>
        <w:spacing w:before="0" w:after="0"/>
        <w:ind w:left="707" w:hanging="283"/>
        <w:rPr/>
      </w:pPr>
      <w:r>
        <w:rPr/>
        <w:t xml:space="preserve">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частью 2 или 2.1 настоящей статьи. </w:t>
      </w:r>
    </w:p>
    <w:p>
      <w:pPr>
        <w:pStyle w:val="TextBody"/>
        <w:numPr>
          <w:ilvl w:val="0"/>
          <w:numId w:val="84"/>
        </w:numPr>
        <w:tabs>
          <w:tab w:val="left" w:pos="0" w:leader="none"/>
        </w:tabs>
        <w:ind w:left="707" w:hanging="283"/>
        <w:rPr/>
      </w:pPr>
      <w:r>
        <w:rPr/>
        <w:t xml:space="preserve">Предостережение должно содержать: </w:t>
      </w:r>
    </w:p>
    <w:p>
      <w:pPr>
        <w:pStyle w:val="TextBody"/>
        <w:rPr/>
      </w:pPr>
      <w:r>
        <w:rPr/>
        <w:t>1) выводы о наличии оснований для направления предостережения;</w:t>
      </w:r>
    </w:p>
    <w:p>
      <w:pPr>
        <w:pStyle w:val="TextBody"/>
        <w:rPr/>
      </w:pPr>
      <w:r>
        <w:rP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pPr>
        <w:pStyle w:val="TextBody"/>
        <w:numPr>
          <w:ilvl w:val="0"/>
          <w:numId w:val="85"/>
        </w:numPr>
        <w:tabs>
          <w:tab w:val="left" w:pos="0" w:leader="none"/>
        </w:tabs>
        <w:ind w:left="707" w:hanging="283"/>
        <w:rPr/>
      </w:pPr>
      <w:r>
        <w:rPr/>
        <w:t xml:space="preserve">Порядок направления предостережения и его форма утверждаются федеральным антимонопольным органом. </w:t>
      </w:r>
    </w:p>
    <w:p>
      <w:pPr>
        <w:pStyle w:val="TextBody"/>
        <w:rPr/>
      </w:pPr>
      <w:r>
        <w:rPr>
          <w:rStyle w:val="StrongEmphasis"/>
        </w:rPr>
        <w:t>Статья 26. Обязанность антимонопольного органа по соблюдению коммерческой, служебной, иной охраняемой законом тайны</w:t>
      </w:r>
    </w:p>
    <w:p>
      <w:pPr>
        <w:pStyle w:val="TextBody"/>
        <w:numPr>
          <w:ilvl w:val="0"/>
          <w:numId w:val="86"/>
        </w:numPr>
        <w:tabs>
          <w:tab w:val="left" w:pos="0" w:leader="none"/>
        </w:tabs>
        <w:spacing w:before="0" w:after="0"/>
        <w:ind w:left="707" w:hanging="283"/>
        <w:rPr/>
      </w:pPr>
      <w:r>
        <w:rPr/>
        <w:t xml:space="preserve">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 </w:t>
      </w:r>
    </w:p>
    <w:p>
      <w:pPr>
        <w:pStyle w:val="TextBody"/>
        <w:numPr>
          <w:ilvl w:val="0"/>
          <w:numId w:val="86"/>
        </w:numPr>
        <w:tabs>
          <w:tab w:val="left" w:pos="0" w:leader="none"/>
        </w:tabs>
        <w:spacing w:before="0" w:after="0"/>
        <w:ind w:left="707" w:hanging="283"/>
        <w:rPr/>
      </w:pPr>
      <w:r>
        <w:rPr/>
        <w:t xml:space="preserve">За разглашение информации, составляющей коммерческую, служебную, иную охраняемую законом тайну, работники антимонопольного органа несут гражданско-правовую, административную и уголовную ответственность. </w:t>
      </w:r>
    </w:p>
    <w:p>
      <w:pPr>
        <w:pStyle w:val="TextBody"/>
        <w:numPr>
          <w:ilvl w:val="0"/>
          <w:numId w:val="86"/>
        </w:numPr>
        <w:tabs>
          <w:tab w:val="left" w:pos="0" w:leader="none"/>
        </w:tabs>
        <w:ind w:left="707" w:hanging="283"/>
        <w:rPr/>
      </w:pPr>
      <w:r>
        <w:rPr/>
        <w:t xml:space="preserve">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 </w:t>
      </w:r>
    </w:p>
    <w:p>
      <w:pPr>
        <w:pStyle w:val="TextBody"/>
        <w:rPr/>
      </w:pPr>
      <w:r>
        <w:rPr>
          <w:rStyle w:val="StrongEmphasis"/>
        </w:rPr>
        <w:t>Глава 7. ГОСУДАРСТВЕННЫЙ КОНТРОЛЬ</w:t>
      </w:r>
    </w:p>
    <w:p>
      <w:pPr>
        <w:pStyle w:val="TextBody"/>
        <w:rPr/>
      </w:pPr>
      <w:r>
        <w:rPr>
          <w:rStyle w:val="StrongEmphasis"/>
        </w:rPr>
        <w:t>ЗА ЭКОНОМИЧЕСКОЙ КОНЦЕНТРАЦИЕЙ</w:t>
      </w:r>
    </w:p>
    <w:p>
      <w:pPr>
        <w:pStyle w:val="TextBody"/>
        <w:rPr/>
      </w:pPr>
      <w:r>
        <w:rPr>
          <w:rStyle w:val="StrongEmphasis"/>
        </w:rPr>
        <w:t>Статья 26.1. Сделки, иные действия, подлежащие государственному контролю</w:t>
      </w:r>
    </w:p>
    <w:p>
      <w:pPr>
        <w:pStyle w:val="TextBody"/>
        <w:numPr>
          <w:ilvl w:val="0"/>
          <w:numId w:val="87"/>
        </w:numPr>
        <w:tabs>
          <w:tab w:val="left" w:pos="0" w:leader="none"/>
        </w:tabs>
        <w:spacing w:before="0" w:after="0"/>
        <w:ind w:left="707" w:hanging="283"/>
        <w:rPr/>
      </w:pPr>
      <w:r>
        <w:rPr/>
        <w:t xml:space="preserve">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 </w:t>
      </w:r>
    </w:p>
    <w:p>
      <w:pPr>
        <w:pStyle w:val="TextBody"/>
        <w:numPr>
          <w:ilvl w:val="0"/>
          <w:numId w:val="87"/>
        </w:numPr>
        <w:tabs>
          <w:tab w:val="left" w:pos="0" w:leader="none"/>
        </w:tabs>
        <w:ind w:left="707" w:hanging="283"/>
        <w:rPr/>
      </w:pPr>
      <w:r>
        <w:rPr/>
        <w:t xml:space="preserve">Положения настоящей главы не распространяются на заключаемые Центральным банком Российской Федерации в соответствии с Федеральным законом от 10 июля 2002 года N 86-ФЗ "О Центральном банке Российской Федерации (Банке России)" договоры репо. </w:t>
      </w:r>
    </w:p>
    <w:p>
      <w:pPr>
        <w:pStyle w:val="TextBody"/>
        <w:rPr/>
      </w:pPr>
      <w:r>
        <w:rPr/>
        <w:t>(часть 2 введена Федеральным законом от 28.07.2012 N 145-ФЗ)</w:t>
      </w:r>
    </w:p>
    <w:p>
      <w:pPr>
        <w:pStyle w:val="TextBody"/>
        <w:rPr/>
      </w:pPr>
      <w:r>
        <w:rPr>
          <w:rStyle w:val="StrongEmphasis"/>
        </w:rP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pPr>
        <w:pStyle w:val="TextBody"/>
        <w:numPr>
          <w:ilvl w:val="0"/>
          <w:numId w:val="88"/>
        </w:numPr>
        <w:tabs>
          <w:tab w:val="left" w:pos="0" w:leader="none"/>
        </w:tabs>
        <w:ind w:left="707" w:hanging="283"/>
        <w:rPr/>
      </w:pPr>
      <w:r>
        <w:rPr/>
        <w:t xml:space="preserve">С предварительного согласия антимонопольного органа осуществляются следующие действия: </w:t>
      </w:r>
    </w:p>
    <w:p>
      <w:pPr>
        <w:pStyle w:val="TextBody"/>
        <w:rPr/>
      </w:pPr>
      <w:r>
        <w:rP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pPr>
        <w:pStyle w:val="TextBody"/>
        <w:rPr/>
      </w:pPr>
      <w:r>
        <w:rP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pPr>
        <w:pStyle w:val="TextBody"/>
        <w:rPr/>
      </w:pPr>
      <w:r>
        <w:rP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TextBody"/>
        <w:rPr/>
      </w:pPr>
      <w:r>
        <w:rPr/>
        <w:t>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pPr>
        <w:pStyle w:val="TextBody"/>
        <w:rPr/>
      </w:pPr>
      <w:r>
        <w:rPr/>
        <w:t>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TextBody"/>
        <w:rPr/>
      </w:pPr>
      <w:r>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pPr>
        <w:pStyle w:val="TextBody"/>
        <w:rPr/>
      </w:pPr>
      <w:r>
        <w:rP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pPr>
        <w:pStyle w:val="TextBody"/>
        <w:rPr/>
      </w:pPr>
      <w:r>
        <w:rP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pPr>
        <w:pStyle w:val="TextBody"/>
        <w:numPr>
          <w:ilvl w:val="0"/>
          <w:numId w:val="89"/>
        </w:numPr>
        <w:tabs>
          <w:tab w:val="left" w:pos="0" w:leader="none"/>
        </w:tabs>
        <w:ind w:left="707" w:hanging="283"/>
        <w:rPr/>
      </w:pPr>
      <w:r>
        <w:rPr/>
        <w:t xml:space="preserve">Предусмотренное частью 1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части 1 настоящей статьи действия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w:t>
      </w:r>
    </w:p>
    <w:p>
      <w:pPr>
        <w:pStyle w:val="TextBody"/>
        <w:rPr/>
      </w:pPr>
      <w:r>
        <w:rPr>
          <w:rStyle w:val="StrongEmphasis"/>
        </w:rP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pPr>
        <w:pStyle w:val="TextBody"/>
        <w:numPr>
          <w:ilvl w:val="0"/>
          <w:numId w:val="90"/>
        </w:numPr>
        <w:tabs>
          <w:tab w:val="left" w:pos="0" w:leader="none"/>
        </w:tabs>
        <w:ind w:left="707" w:hanging="283"/>
        <w:rPr/>
      </w:pPr>
      <w:r>
        <w:rPr/>
        <w:t xml:space="preserve">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 </w:t>
      </w:r>
    </w:p>
    <w:p>
      <w:pPr>
        <w:pStyle w:val="TextBody"/>
        <w:rPr/>
      </w:pPr>
      <w:r>
        <w:rP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pPr>
        <w:pStyle w:val="TextBody"/>
        <w:rPr/>
      </w:pPr>
      <w:r>
        <w:rP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pPr>
        <w:pStyle w:val="TextBody"/>
        <w:rPr/>
      </w:pPr>
      <w:r>
        <w:rP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TextBody"/>
        <w:rPr/>
      </w:pPr>
      <w:r>
        <w:rP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TextBody"/>
        <w:rPr/>
      </w:pPr>
      <w:r>
        <w:rP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TextBody"/>
        <w:rPr/>
      </w:pPr>
      <w:r>
        <w:rP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TextBody"/>
        <w:rPr/>
      </w:pPr>
      <w:r>
        <w:rP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pPr>
        <w:pStyle w:val="TextBody"/>
        <w:rPr/>
      </w:pPr>
      <w:r>
        <w:rP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pPr>
        <w:pStyle w:val="TextBody"/>
        <w:rPr/>
      </w:pPr>
      <w:r>
        <w:rP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pPr>
        <w:pStyle w:val="TextBody"/>
        <w:numPr>
          <w:ilvl w:val="0"/>
          <w:numId w:val="91"/>
        </w:numPr>
        <w:tabs>
          <w:tab w:val="left" w:pos="0" w:leader="none"/>
        </w:tabs>
        <w:spacing w:before="0" w:after="0"/>
        <w:ind w:left="707" w:hanging="283"/>
        <w:rPr/>
      </w:pPr>
      <w:r>
        <w:rPr/>
        <w:t xml:space="preserve">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 </w:t>
      </w:r>
    </w:p>
    <w:p>
      <w:pPr>
        <w:pStyle w:val="TextBody"/>
        <w:numPr>
          <w:ilvl w:val="0"/>
          <w:numId w:val="91"/>
        </w:numPr>
        <w:tabs>
          <w:tab w:val="left" w:pos="0" w:leader="none"/>
        </w:tabs>
        <w:ind w:left="707" w:hanging="283"/>
        <w:rPr/>
      </w:pPr>
      <w:r>
        <w:rPr/>
        <w:t xml:space="preserve">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частью 1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 </w:t>
      </w:r>
    </w:p>
    <w:p>
      <w:pPr>
        <w:pStyle w:val="TextBody"/>
        <w:rPr/>
      </w:pPr>
      <w:r>
        <w:rPr>
          <w:rStyle w:val="StrongEmphasis"/>
        </w:rP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pPr>
        <w:pStyle w:val="TextBody"/>
        <w:numPr>
          <w:ilvl w:val="0"/>
          <w:numId w:val="92"/>
        </w:numPr>
        <w:tabs>
          <w:tab w:val="left" w:pos="0" w:leader="none"/>
        </w:tabs>
        <w:ind w:left="707" w:hanging="283"/>
        <w:rPr/>
      </w:pPr>
      <w:r>
        <w:rPr/>
        <w:t xml:space="preserve">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 </w:t>
      </w:r>
    </w:p>
    <w:p>
      <w:pPr>
        <w:pStyle w:val="TextBody"/>
        <w:rPr/>
      </w:pPr>
      <w:r>
        <w:rP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pPr>
        <w:pStyle w:val="TextBody"/>
        <w:rPr/>
      </w:pPr>
      <w:r>
        <w:rP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pPr>
        <w:pStyle w:val="TextBody"/>
        <w:rPr/>
      </w:pPr>
      <w:r>
        <w:rP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TextBody"/>
        <w:rPr/>
      </w:pPr>
      <w:r>
        <w:rP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TextBody"/>
        <w:rPr/>
      </w:pPr>
      <w:r>
        <w:rP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TextBody"/>
        <w:rPr/>
      </w:pPr>
      <w:r>
        <w:rP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TextBody"/>
        <w:rPr/>
      </w:pPr>
      <w:r>
        <w:rP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pPr>
        <w:pStyle w:val="TextBody"/>
        <w:rPr/>
      </w:pPr>
      <w:r>
        <w:rP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pPr>
        <w:pStyle w:val="TextBody"/>
        <w:numPr>
          <w:ilvl w:val="0"/>
          <w:numId w:val="93"/>
        </w:numPr>
        <w:tabs>
          <w:tab w:val="left" w:pos="0" w:leader="none"/>
        </w:tabs>
        <w:ind w:left="707" w:hanging="283"/>
        <w:rPr/>
      </w:pPr>
      <w:r>
        <w:rPr/>
        <w:t xml:space="preserve">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w:t>
      </w:r>
    </w:p>
    <w:p>
      <w:pPr>
        <w:pStyle w:val="TextBody"/>
        <w:rPr/>
      </w:pPr>
      <w:r>
        <w:rPr>
          <w:rStyle w:val="StrongEmphasis"/>
        </w:rPr>
        <w:t>Статья 30. Утратила силу. - Федеральный закон от 28.12.2013 N 423-ФЗ.</w:t>
      </w:r>
    </w:p>
    <w:p>
      <w:pPr>
        <w:pStyle w:val="TextBody"/>
        <w:rPr/>
      </w:pPr>
      <w:r>
        <w:rPr>
          <w:rStyle w:val="StrongEmphasis"/>
        </w:rPr>
        <w:t>Статья 31. Особенности государственного контроля за экономической концентрацией, осуществляемой группой лиц</w:t>
      </w:r>
    </w:p>
    <w:p>
      <w:pPr>
        <w:pStyle w:val="TextBody"/>
        <w:numPr>
          <w:ilvl w:val="0"/>
          <w:numId w:val="94"/>
        </w:numPr>
        <w:tabs>
          <w:tab w:val="left" w:pos="0" w:leader="none"/>
        </w:tabs>
        <w:ind w:left="707" w:hanging="283"/>
        <w:rPr/>
      </w:pPr>
      <w:r>
        <w:rPr/>
        <w:t xml:space="preserve">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t>
      </w:r>
    </w:p>
    <w:p>
      <w:pPr>
        <w:pStyle w:val="TextBody"/>
        <w:rPr/>
      </w:pPr>
      <w:r>
        <w:rPr/>
        <w:t>1) сделки, иные действия, указанные в статьях 27 - 29 настоящего Федерального закона, осуществляются лицами, входящими в одну группу лиц;</w:t>
      </w:r>
    </w:p>
    <w:p>
      <w:pPr>
        <w:pStyle w:val="TextBody"/>
        <w:rPr/>
      </w:pPr>
      <w:r>
        <w:rPr/>
        <w:t>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форме не позднее чем за один месяц до осуществления сделок, иных действий;</w:t>
      </w:r>
    </w:p>
    <w:p>
      <w:pPr>
        <w:pStyle w:val="TextBody"/>
        <w:rPr/>
      </w:pPr>
      <w:r>
        <w:rP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pPr>
        <w:pStyle w:val="TextBody"/>
        <w:numPr>
          <w:ilvl w:val="0"/>
          <w:numId w:val="95"/>
        </w:numPr>
        <w:tabs>
          <w:tab w:val="left" w:pos="0" w:leader="none"/>
        </w:tabs>
        <w:ind w:left="707" w:hanging="283"/>
        <w:rPr/>
      </w:pPr>
      <w:r>
        <w:rPr/>
        <w:t xml:space="preserve">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 </w:t>
      </w:r>
    </w:p>
    <w:p>
      <w:pPr>
        <w:pStyle w:val="TextBody"/>
        <w:rPr/>
      </w:pPr>
      <w:r>
        <w:rP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pPr>
        <w:pStyle w:val="TextBody"/>
        <w:rPr/>
      </w:pPr>
      <w:r>
        <w:rPr/>
        <w:t>2) нарушении формы представления такого перечня и несоблюдении условий, указанных в части 1 настоящей статьи.</w:t>
      </w:r>
    </w:p>
    <w:p>
      <w:pPr>
        <w:pStyle w:val="TextBody"/>
        <w:numPr>
          <w:ilvl w:val="0"/>
          <w:numId w:val="96"/>
        </w:numPr>
        <w:tabs>
          <w:tab w:val="left" w:pos="0" w:leader="none"/>
        </w:tabs>
        <w:spacing w:before="0" w:after="0"/>
        <w:ind w:left="707" w:hanging="283"/>
        <w:rPr/>
      </w:pPr>
      <w:r>
        <w:rPr/>
        <w:t xml:space="preserve">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статьях 28 и 29 настоящего Федерального закона сделок, иных действий, или лицом, которое было создано в результате осуществления сделок, иных действий, указанных в статье 27 настоящего Федерального закона, - не позднее чем через сорок пять дней после даты осуществления таких сделок, иных действий. </w:t>
      </w:r>
    </w:p>
    <w:p>
      <w:pPr>
        <w:pStyle w:val="TextBody"/>
        <w:numPr>
          <w:ilvl w:val="0"/>
          <w:numId w:val="96"/>
        </w:numPr>
        <w:tabs>
          <w:tab w:val="left" w:pos="0" w:leader="none"/>
        </w:tabs>
        <w:spacing w:before="0" w:after="0"/>
        <w:ind w:left="707" w:hanging="283"/>
        <w:rPr/>
      </w:pPr>
      <w:r>
        <w:rPr/>
        <w:t xml:space="preserve">Федеральным антимонопольным органом утверждается форма представления перечня лиц, входящих в одну группу лиц, с указанием оснований, по которым такие лица входят в эту группу. </w:t>
      </w:r>
    </w:p>
    <w:p>
      <w:pPr>
        <w:pStyle w:val="TextBody"/>
        <w:numPr>
          <w:ilvl w:val="0"/>
          <w:numId w:val="96"/>
        </w:numPr>
        <w:tabs>
          <w:tab w:val="left" w:pos="0" w:leader="none"/>
        </w:tabs>
        <w:ind w:left="707" w:hanging="283"/>
        <w:rPr/>
      </w:pPr>
      <w:r>
        <w:rPr/>
        <w:t xml:space="preserve">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 </w:t>
      </w:r>
    </w:p>
    <w:p>
      <w:pPr>
        <w:pStyle w:val="TextBody"/>
        <w:rPr/>
      </w:pPr>
      <w:r>
        <w:rPr>
          <w:rStyle w:val="StrongEmphasis"/>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pPr>
        <w:pStyle w:val="TextBody"/>
        <w:numPr>
          <w:ilvl w:val="0"/>
          <w:numId w:val="97"/>
        </w:numPr>
        <w:tabs>
          <w:tab w:val="left" w:pos="0" w:leader="none"/>
        </w:tabs>
        <w:ind w:left="707" w:hanging="283"/>
        <w:rPr/>
      </w:pPr>
      <w:r>
        <w:rPr/>
        <w:t xml:space="preserve">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 </w:t>
      </w:r>
    </w:p>
    <w:p>
      <w:pPr>
        <w:pStyle w:val="TextBody"/>
        <w:rPr/>
      </w:pPr>
      <w:r>
        <w:rPr/>
        <w:t>1) лица, осуществляющие действия, предусмотренные пунктами 1 - 3, 6 - 8 части 1 статьи 27 настоящего Федерального закона;</w:t>
      </w:r>
    </w:p>
    <w:p>
      <w:pPr>
        <w:pStyle w:val="TextBody"/>
        <w:rPr/>
      </w:pPr>
      <w:r>
        <w:rPr/>
        <w:t>(в ред. Федеральных законов от 06.12.2011 N 401-ФЗ, от 05.10.2015 N 275-ФЗ)</w:t>
      </w:r>
    </w:p>
    <w:p>
      <w:pPr>
        <w:pStyle w:val="TextBody"/>
        <w:rPr/>
      </w:pPr>
      <w:r>
        <w:rPr/>
        <w:t>2) лица или одно из лиц, которые принимают решение о создании коммерческой организации в случаях, предусмотренных пунктами 4 и 5 части 1 статьи 27 настоящего Федерального закона;</w:t>
      </w:r>
    </w:p>
    <w:p>
      <w:pPr>
        <w:pStyle w:val="TextBody"/>
        <w:rPr/>
      </w:pPr>
      <w:r>
        <w:rPr/>
        <w:t>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w:t>
      </w:r>
    </w:p>
    <w:p>
      <w:pPr>
        <w:pStyle w:val="TextBody"/>
        <w:rPr/>
      </w:pPr>
      <w:r>
        <w:rPr/>
        <w:t>4) лица, на которых в соответствии со статьей 31 настоящего Федерального закона возложена обязанность уведомлять антимонопольный орган об осуществлении сделок, иных действий.</w:t>
      </w:r>
    </w:p>
    <w:p>
      <w:pPr>
        <w:pStyle w:val="TextBody"/>
        <w:numPr>
          <w:ilvl w:val="0"/>
          <w:numId w:val="98"/>
        </w:numPr>
        <w:tabs>
          <w:tab w:val="left" w:pos="0" w:leader="none"/>
        </w:tabs>
        <w:spacing w:before="0" w:after="0"/>
        <w:ind w:left="707" w:hanging="283"/>
        <w:rPr/>
      </w:pPr>
      <w:r>
        <w:rPr/>
        <w:t xml:space="preserve">Лица, указанные в пунктах 1 - 3 части 1 настоящей статьи, представляют в антимонопольный орган ходатайства о даче согласия на осуществление сделок, иных действий. </w:t>
      </w:r>
    </w:p>
    <w:p>
      <w:pPr>
        <w:pStyle w:val="TextBody"/>
        <w:numPr>
          <w:ilvl w:val="0"/>
          <w:numId w:val="98"/>
        </w:numPr>
        <w:tabs>
          <w:tab w:val="left" w:pos="0" w:leader="none"/>
        </w:tabs>
        <w:ind w:left="707" w:hanging="283"/>
        <w:rPr/>
      </w:pPr>
      <w:r>
        <w:rPr/>
        <w:t xml:space="preserve">Лица, на которых статьей 31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 </w:t>
      </w:r>
    </w:p>
    <w:p>
      <w:pPr>
        <w:pStyle w:val="TextBody"/>
        <w:rPr/>
      </w:pPr>
      <w:r>
        <w:rPr/>
        <w:t>3.1. Ходатайство или уведомление может быть представлено в антимонопольный орган в электронной форме в порядке, установленном федеральным антимонопольным органом.</w:t>
      </w:r>
    </w:p>
    <w:p>
      <w:pPr>
        <w:pStyle w:val="TextBody"/>
        <w:numPr>
          <w:ilvl w:val="0"/>
          <w:numId w:val="99"/>
        </w:numPr>
        <w:tabs>
          <w:tab w:val="left" w:pos="0" w:leader="none"/>
        </w:tabs>
        <w:ind w:left="707" w:hanging="283"/>
        <w:rPr/>
      </w:pPr>
      <w:r>
        <w:rPr/>
        <w:t xml:space="preserve">Ходатайство или уведомление об осуществлении сделок, иных действий может быть представлено в антимонопольный орган представителем заявителя. </w:t>
      </w:r>
    </w:p>
    <w:p>
      <w:pPr>
        <w:pStyle w:val="TextBody"/>
        <w:rPr/>
      </w:pPr>
      <w:r>
        <w:rPr/>
        <w:t>4.1. За принятие решения об осуществлении сделок, иных действий, подлежащих государственному контролю,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TextBody"/>
        <w:numPr>
          <w:ilvl w:val="0"/>
          <w:numId w:val="100"/>
        </w:numPr>
        <w:tabs>
          <w:tab w:val="left" w:pos="0" w:leader="none"/>
        </w:tabs>
        <w:ind w:left="707" w:hanging="283"/>
        <w:rPr/>
      </w:pPr>
      <w:r>
        <w:rPr/>
        <w:t xml:space="preserve">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t>
      </w:r>
    </w:p>
    <w:p>
      <w:pPr>
        <w:pStyle w:val="TextBody"/>
        <w:rPr/>
      </w:pPr>
      <w:r>
        <w:rPr/>
        <w:t>1) нотариально заверенные копии учредительных документов заявителя - юридического лица или фамилия, имя, отчество заявителя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pPr>
        <w:pStyle w:val="TextBody"/>
        <w:rPr/>
      </w:pPr>
      <w:r>
        <w:rP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pPr>
        <w:pStyle w:val="TextBody"/>
        <w:rPr/>
      </w:pPr>
      <w:r>
        <w:rPr/>
        <w:t>3) документы и (или) сведения, определяющие предмет и содержание сделок, иных действий, подлежащих государственному контролю;</w:t>
      </w:r>
    </w:p>
    <w:p>
      <w:pPr>
        <w:pStyle w:val="TextBody"/>
        <w:rPr/>
      </w:pPr>
      <w:r>
        <w:rP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pPr>
        <w:pStyle w:val="TextBody"/>
        <w:rPr/>
      </w:pPr>
      <w:r>
        <w:rP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pPr>
        <w:pStyle w:val="TextBody"/>
        <w:rPr/>
      </w:pPr>
      <w:r>
        <w:rPr/>
        <w:t>6) имеющиеся у заявителя сведения об основных видах деятельности лиц, указанных в статьях 27 - 29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pPr>
        <w:pStyle w:val="TextBody"/>
        <w:rPr/>
      </w:pPr>
      <w:r>
        <w:rP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pStyle w:val="TextBody"/>
        <w:rPr/>
      </w:pPr>
      <w:r>
        <w:rP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pStyle w:val="TextBody"/>
        <w:rPr/>
      </w:pPr>
      <w:r>
        <w:rP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pPr>
        <w:pStyle w:val="TextBody"/>
        <w:rPr/>
      </w:pPr>
      <w:r>
        <w:rP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pPr>
        <w:pStyle w:val="TextBody"/>
        <w:rPr/>
      </w:pPr>
      <w:r>
        <w:rP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pPr>
        <w:pStyle w:val="TextBody"/>
        <w:rPr/>
      </w:pPr>
      <w:r>
        <w:rP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pPr>
        <w:pStyle w:val="TextBody"/>
        <w:rPr/>
      </w:pPr>
      <w:r>
        <w:rP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pPr>
        <w:pStyle w:val="TextBody"/>
        <w:rPr/>
      </w:pPr>
      <w:r>
        <w:rP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pPr>
        <w:pStyle w:val="TextBody"/>
        <w:rPr/>
      </w:pPr>
      <w:r>
        <w:rP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pPr>
        <w:pStyle w:val="TextBody"/>
        <w:rPr/>
      </w:pPr>
      <w:r>
        <w:rPr/>
        <w:t>16) перечень лиц, входящих в группу лиц с заявителем, по форме,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пунктах 1 - 3, 5, 6 и 9 части 1 статьи 9 настоящего Федерального закона;</w:t>
      </w:r>
    </w:p>
    <w:p>
      <w:pPr>
        <w:pStyle w:val="TextBody"/>
        <w:rPr/>
      </w:pPr>
      <w:r>
        <w:rPr/>
        <w:t>17) перечень лиц, входящих в одну группу лиц с иными указанными в статьях 27 - 29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статьях 27 - 29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статьях 27 - 29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пунктах 1 - 3, 5, 6 и 9 части 1 статьи 9 настоящего Федерального закона;</w:t>
      </w:r>
    </w:p>
    <w:p>
      <w:pPr>
        <w:pStyle w:val="TextBody"/>
        <w:rPr/>
      </w:pPr>
      <w:r>
        <w:rP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pPr>
        <w:pStyle w:val="TextBody"/>
        <w:rPr/>
      </w:pPr>
      <w:r>
        <w:rPr/>
        <w:t>19) перечень лицензий лица, являющегося объектом экономической концентрации, на осуществление видов деятельности, предусмотренных статьей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pPr>
        <w:pStyle w:val="TextBody"/>
        <w:rPr/>
      </w:pPr>
      <w:r>
        <w:rP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pPr>
        <w:pStyle w:val="TextBody"/>
        <w:rPr/>
      </w:pPr>
      <w:r>
        <w:rPr/>
        <w:t>5.1. В случае представления не в полном объеме необходимых документов и сведений, указанных в части 5 настоящей статьи, за исключением документов и сведений, указанных в частях 5.2 - 5.4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TextBody"/>
        <w:rPr/>
      </w:pPr>
      <w:r>
        <w:rPr/>
        <w:t>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pPr>
        <w:pStyle w:val="TextBody"/>
        <w:rPr/>
      </w:pPr>
      <w:r>
        <w:rPr/>
        <w:t>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pPr>
        <w:pStyle w:val="TextBody"/>
        <w:numPr>
          <w:ilvl w:val="0"/>
          <w:numId w:val="101"/>
        </w:numPr>
        <w:tabs>
          <w:tab w:val="left" w:pos="0" w:leader="none"/>
        </w:tabs>
        <w:spacing w:before="0" w:after="0"/>
        <w:ind w:left="707" w:hanging="283"/>
        <w:rPr/>
      </w:pPr>
      <w:r>
        <w:rPr/>
        <w:t xml:space="preserve">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части 5 настоящей статьи документы и сведения об иных участвующих в таких слиянии, присоединении или создании лицах. </w:t>
      </w:r>
    </w:p>
    <w:p>
      <w:pPr>
        <w:pStyle w:val="TextBody"/>
        <w:numPr>
          <w:ilvl w:val="0"/>
          <w:numId w:val="101"/>
        </w:numPr>
        <w:tabs>
          <w:tab w:val="left" w:pos="0" w:leader="none"/>
        </w:tabs>
        <w:spacing w:before="0" w:after="0"/>
        <w:ind w:left="707" w:hanging="283"/>
        <w:rPr/>
      </w:pPr>
      <w:r>
        <w:rPr/>
        <w:t xml:space="preserve">Федеральным антимонопольным органом утверждается форма представления сведений, предусмотренных частью 5 настоящей статьи. </w:t>
      </w:r>
    </w:p>
    <w:p>
      <w:pPr>
        <w:pStyle w:val="TextBody"/>
        <w:numPr>
          <w:ilvl w:val="0"/>
          <w:numId w:val="101"/>
        </w:numPr>
        <w:tabs>
          <w:tab w:val="left" w:pos="0" w:leader="none"/>
        </w:tabs>
        <w:spacing w:before="0" w:after="0"/>
        <w:ind w:left="707" w:hanging="283"/>
        <w:rPr/>
      </w:pPr>
      <w:r>
        <w:rPr/>
        <w:t xml:space="preserve">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статьями 27 - 29 и 31 настоящего Федерального закона, такая сделка, иное действие подлежат согласованию в рамках одного ходатайства или одного последующего уведомления. </w:t>
      </w:r>
    </w:p>
    <w:p>
      <w:pPr>
        <w:pStyle w:val="TextBody"/>
        <w:numPr>
          <w:ilvl w:val="0"/>
          <w:numId w:val="101"/>
        </w:numPr>
        <w:tabs>
          <w:tab w:val="left" w:pos="0" w:leader="none"/>
        </w:tabs>
        <w:ind w:left="707" w:hanging="283"/>
        <w:rPr/>
      </w:pPr>
      <w:r>
        <w:rPr/>
        <w:t xml:space="preserve">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 </w:t>
      </w:r>
    </w:p>
    <w:p>
      <w:pPr>
        <w:pStyle w:val="TextBody"/>
        <w:rPr/>
      </w:pPr>
      <w:r>
        <w:rPr/>
        <w:t>(часть 9 введена Федеральным законом от 05.10.2015 N 275-ФЗ)</w:t>
      </w:r>
    </w:p>
    <w:p>
      <w:pPr>
        <w:pStyle w:val="TextBody"/>
        <w:numPr>
          <w:ilvl w:val="0"/>
          <w:numId w:val="102"/>
        </w:numPr>
        <w:tabs>
          <w:tab w:val="left" w:pos="0" w:leader="none"/>
        </w:tabs>
        <w:ind w:left="707" w:hanging="283"/>
        <w:rPr/>
      </w:pPr>
      <w:r>
        <w:rPr/>
        <w:t xml:space="preserve">Лица, указанные в части 1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 </w:t>
      </w:r>
    </w:p>
    <w:p>
      <w:pPr>
        <w:pStyle w:val="TextBody"/>
        <w:rPr/>
      </w:pPr>
      <w:r>
        <w:rPr>
          <w:rStyle w:val="StrongEmphasis"/>
        </w:rP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pPr>
        <w:pStyle w:val="TextBody"/>
        <w:numPr>
          <w:ilvl w:val="0"/>
          <w:numId w:val="103"/>
        </w:numPr>
        <w:tabs>
          <w:tab w:val="left" w:pos="0" w:leader="none"/>
        </w:tabs>
        <w:spacing w:before="0" w:after="0"/>
        <w:ind w:left="707" w:hanging="283"/>
        <w:rPr/>
      </w:pPr>
      <w:r>
        <w:rPr/>
        <w:t xml:space="preserve">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t>
      </w:r>
    </w:p>
    <w:p>
      <w:pPr>
        <w:pStyle w:val="TextBody"/>
        <w:numPr>
          <w:ilvl w:val="0"/>
          <w:numId w:val="103"/>
        </w:numPr>
        <w:tabs>
          <w:tab w:val="left" w:pos="0" w:leader="none"/>
        </w:tabs>
        <w:ind w:left="707" w:hanging="283"/>
        <w:rPr/>
      </w:pPr>
      <w:r>
        <w:rPr/>
        <w:t xml:space="preserve">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 </w:t>
      </w:r>
    </w:p>
    <w:p>
      <w:pPr>
        <w:pStyle w:val="TextBody"/>
        <w:rPr/>
      </w:pPr>
      <w:r>
        <w:rPr/>
        <w:t>1) об удовлетворении ходатайства, если сделка, иное действие, заявленные в ходатайстве, не приведут к ограничению конкуренции;</w:t>
      </w:r>
    </w:p>
    <w:p>
      <w:pPr>
        <w:pStyle w:val="TextBody"/>
        <w:rPr/>
      </w:pPr>
      <w:r>
        <w:rPr/>
        <w:t>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pPr>
        <w:pStyle w:val="TextBody"/>
        <w:rPr/>
      </w:pPr>
      <w:r>
        <w:rPr/>
        <w:t>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pPr>
        <w:pStyle w:val="TextBody"/>
        <w:rPr/>
      </w:pPr>
      <w:r>
        <w:rPr/>
        <w:t>(п. 3 в ред. Федерального закона от 06.12.2011 N 401-ФЗ)</w:t>
      </w:r>
    </w:p>
    <w:p>
      <w:pPr>
        <w:pStyle w:val="TextBody"/>
        <w:rPr/>
      </w:pPr>
      <w:r>
        <w:rPr/>
        <w:t>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законом;</w:t>
      </w:r>
    </w:p>
    <w:p>
      <w:pPr>
        <w:pStyle w:val="TextBody"/>
        <w:rPr/>
      </w:pPr>
      <w:r>
        <w:rPr/>
        <w:t>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pPr>
        <w:pStyle w:val="TextBody"/>
        <w:rPr/>
      </w:pPr>
      <w:r>
        <w:rP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pPr>
        <w:pStyle w:val="TextBody"/>
        <w:rPr/>
      </w:pPr>
      <w:r>
        <w:rPr/>
        <w:t>6) об отказе в удовлетворении ходатайства, если в отношении сделки, иного действия, заявленных в ходатайстве,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pPr>
        <w:pStyle w:val="TextBody"/>
        <w:rPr/>
      </w:pPr>
      <w:r>
        <w:rPr/>
        <w:t>(п. 6 введен Федеральным законом от 08.11.2008 N 195-ФЗ)</w:t>
      </w:r>
    </w:p>
    <w:p>
      <w:pPr>
        <w:pStyle w:val="TextBody"/>
        <w:numPr>
          <w:ilvl w:val="0"/>
          <w:numId w:val="104"/>
        </w:numPr>
        <w:tabs>
          <w:tab w:val="left" w:pos="0" w:leader="none"/>
        </w:tabs>
        <w:spacing w:before="0" w:after="0"/>
        <w:ind w:left="707" w:hanging="283"/>
        <w:rPr/>
      </w:pPr>
      <w:r>
        <w:rPr/>
        <w:t xml:space="preserve">Указанный в части 1 настоящей статьи срок может быть продлен решением, предусмотренным пунктом 2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 </w:t>
      </w:r>
    </w:p>
    <w:p>
      <w:pPr>
        <w:pStyle w:val="TextBody"/>
        <w:numPr>
          <w:ilvl w:val="0"/>
          <w:numId w:val="104"/>
        </w:numPr>
        <w:tabs>
          <w:tab w:val="left" w:pos="0" w:leader="none"/>
        </w:tabs>
        <w:spacing w:before="0" w:after="0"/>
        <w:ind w:left="707" w:hanging="283"/>
        <w:rPr/>
      </w:pPr>
      <w:r>
        <w:rPr/>
        <w:t xml:space="preserve">Решение о продлении срока рассмотрения ходатайства, предусмотренное пунктом 3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 </w:t>
      </w:r>
    </w:p>
    <w:p>
      <w:pPr>
        <w:pStyle w:val="TextBody"/>
        <w:numPr>
          <w:ilvl w:val="0"/>
          <w:numId w:val="104"/>
        </w:numPr>
        <w:tabs>
          <w:tab w:val="left" w:pos="0" w:leader="none"/>
        </w:tabs>
        <w:ind w:left="707" w:hanging="283"/>
        <w:rPr/>
      </w:pPr>
      <w:r>
        <w:rPr/>
        <w:t xml:space="preserve">В целях обеспечения конкуренции условия, предусмотренные пунктом 3 части 2 настоящей статьи, в том числе могут содержать: </w:t>
      </w:r>
    </w:p>
    <w:p>
      <w:pPr>
        <w:pStyle w:val="TextBody"/>
        <w:rPr/>
      </w:pPr>
      <w:r>
        <w:rP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TextBody"/>
        <w:rPr/>
      </w:pPr>
      <w:r>
        <w:rP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TextBody"/>
        <w:rPr/>
      </w:pPr>
      <w:r>
        <w:rP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pPr>
        <w:pStyle w:val="TextBody"/>
        <w:rPr/>
      </w:pPr>
      <w:r>
        <w:rP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TextBody"/>
        <w:numPr>
          <w:ilvl w:val="0"/>
          <w:numId w:val="105"/>
        </w:numPr>
        <w:tabs>
          <w:tab w:val="left" w:pos="0" w:leader="none"/>
        </w:tabs>
        <w:spacing w:before="0" w:after="0"/>
        <w:ind w:left="707" w:hanging="283"/>
        <w:rPr/>
      </w:pPr>
      <w:r>
        <w:rPr/>
        <w:t xml:space="preserve">После выполнения условий, указанных в пункте 3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статьями 28 и 29 настоящего Федерального закона, в ином случае - решение об отказе в удовлетворении ходатайства. </w:t>
      </w:r>
    </w:p>
    <w:p>
      <w:pPr>
        <w:pStyle w:val="TextBody"/>
        <w:numPr>
          <w:ilvl w:val="0"/>
          <w:numId w:val="105"/>
        </w:numPr>
        <w:tabs>
          <w:tab w:val="left" w:pos="0" w:leader="none"/>
        </w:tabs>
        <w:spacing w:before="0" w:after="0"/>
        <w:ind w:left="707" w:hanging="283"/>
        <w:rPr/>
      </w:pPr>
      <w:r>
        <w:rPr/>
        <w:t xml:space="preserve">Предусмотренное пунктом 4 части 2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 </w:t>
      </w:r>
    </w:p>
    <w:p>
      <w:pPr>
        <w:pStyle w:val="TextBody"/>
        <w:numPr>
          <w:ilvl w:val="0"/>
          <w:numId w:val="105"/>
        </w:numPr>
        <w:tabs>
          <w:tab w:val="left" w:pos="0" w:leader="none"/>
        </w:tabs>
        <w:spacing w:before="0" w:after="0"/>
        <w:ind w:left="707" w:hanging="283"/>
        <w:rPr/>
      </w:pPr>
      <w:r>
        <w:rPr/>
        <w:t xml:space="preserve">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 </w:t>
      </w:r>
    </w:p>
    <w:p>
      <w:pPr>
        <w:pStyle w:val="TextBody"/>
        <w:numPr>
          <w:ilvl w:val="0"/>
          <w:numId w:val="105"/>
        </w:numPr>
        <w:tabs>
          <w:tab w:val="left" w:pos="0" w:leader="none"/>
        </w:tabs>
        <w:ind w:left="707" w:hanging="283"/>
        <w:rPr/>
      </w:pPr>
      <w:r>
        <w:rPr/>
        <w:t xml:space="preserve">Лица, на которых статьей 31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 </w:t>
      </w:r>
    </w:p>
    <w:p>
      <w:pPr>
        <w:pStyle w:val="TextBody"/>
        <w:rPr/>
      </w:pPr>
      <w:r>
        <w:rPr/>
        <w:t>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пунктом 8 части 1 статьи 27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pPr>
        <w:pStyle w:val="TextBody"/>
        <w:numPr>
          <w:ilvl w:val="0"/>
          <w:numId w:val="106"/>
        </w:numPr>
        <w:tabs>
          <w:tab w:val="left" w:pos="0" w:leader="none"/>
        </w:tabs>
        <w:spacing w:before="0" w:after="0"/>
        <w:ind w:left="707" w:hanging="283"/>
        <w:rPr/>
      </w:pPr>
      <w:r>
        <w:rPr/>
        <w:t xml:space="preserve">В случае, если предусмотренные статьей 31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статьи 23 настоящего Федерального закона. </w:t>
      </w:r>
    </w:p>
    <w:p>
      <w:pPr>
        <w:pStyle w:val="TextBody"/>
        <w:numPr>
          <w:ilvl w:val="0"/>
          <w:numId w:val="106"/>
        </w:numPr>
        <w:tabs>
          <w:tab w:val="left" w:pos="0" w:leader="none"/>
        </w:tabs>
        <w:ind w:left="707" w:hanging="283"/>
        <w:rPr/>
      </w:pPr>
      <w:r>
        <w:rPr/>
        <w:t xml:space="preserve">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Порядок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 </w:t>
      </w:r>
    </w:p>
    <w:p>
      <w:pPr>
        <w:pStyle w:val="TextBody"/>
        <w:rPr/>
      </w:pPr>
      <w:r>
        <w:rPr>
          <w:rStyle w:val="StrongEmphasis"/>
        </w:rP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pPr>
        <w:pStyle w:val="TextBody"/>
        <w:numPr>
          <w:ilvl w:val="0"/>
          <w:numId w:val="107"/>
        </w:numPr>
        <w:tabs>
          <w:tab w:val="left" w:pos="0" w:leader="none"/>
        </w:tabs>
        <w:spacing w:before="0" w:after="0"/>
        <w:ind w:left="707" w:hanging="283"/>
        <w:rPr/>
      </w:pPr>
      <w:r>
        <w:rPr/>
        <w:t xml:space="preserve">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t>
      </w:r>
    </w:p>
    <w:p>
      <w:pPr>
        <w:pStyle w:val="TextBody"/>
        <w:numPr>
          <w:ilvl w:val="0"/>
          <w:numId w:val="107"/>
        </w:numPr>
        <w:tabs>
          <w:tab w:val="left" w:pos="0" w:leader="none"/>
        </w:tabs>
        <w:spacing w:before="0" w:after="0"/>
        <w:ind w:left="707" w:hanging="283"/>
        <w:rPr/>
      </w:pPr>
      <w:r>
        <w:rPr/>
        <w:t xml:space="preserve">Сделки, указанные в статьях 28 и 29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 </w:t>
      </w:r>
    </w:p>
    <w:p>
      <w:pPr>
        <w:pStyle w:val="TextBody"/>
        <w:numPr>
          <w:ilvl w:val="0"/>
          <w:numId w:val="107"/>
        </w:numPr>
        <w:tabs>
          <w:tab w:val="left" w:pos="0" w:leader="none"/>
        </w:tabs>
        <w:spacing w:before="0" w:after="0"/>
        <w:ind w:left="707" w:hanging="283"/>
        <w:rPr/>
      </w:pPr>
      <w:r>
        <w:rPr/>
        <w:t xml:space="preserve">Утратил силу. </w:t>
      </w:r>
    </w:p>
    <w:p>
      <w:pPr>
        <w:pStyle w:val="TextBody"/>
        <w:numPr>
          <w:ilvl w:val="0"/>
          <w:numId w:val="107"/>
        </w:numPr>
        <w:tabs>
          <w:tab w:val="left" w:pos="0" w:leader="none"/>
        </w:tabs>
        <w:spacing w:before="0" w:after="0"/>
        <w:ind w:left="707" w:hanging="283"/>
        <w:rPr/>
      </w:pPr>
      <w:r>
        <w:rPr/>
        <w:t xml:space="preserve">Сделки, иные действия, указанные в статье 31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w:t>
      </w:r>
    </w:p>
    <w:p>
      <w:pPr>
        <w:pStyle w:val="TextBody"/>
        <w:numPr>
          <w:ilvl w:val="0"/>
          <w:numId w:val="107"/>
        </w:numPr>
        <w:tabs>
          <w:tab w:val="left" w:pos="0" w:leader="none"/>
        </w:tabs>
        <w:spacing w:before="0" w:after="0"/>
        <w:ind w:left="707" w:hanging="283"/>
        <w:rPr/>
      </w:pPr>
      <w:r>
        <w:rPr/>
        <w:t xml:space="preserve">Неисполнение предписания антимонопольного органа, которое выдано в порядке, предусмотренном пунктом 4 части 2 статьи 33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 </w:t>
      </w:r>
    </w:p>
    <w:p>
      <w:pPr>
        <w:pStyle w:val="TextBody"/>
        <w:numPr>
          <w:ilvl w:val="0"/>
          <w:numId w:val="107"/>
        </w:numPr>
        <w:tabs>
          <w:tab w:val="left" w:pos="0" w:leader="none"/>
        </w:tabs>
        <w:ind w:left="707" w:hanging="283"/>
        <w:rPr/>
      </w:pPr>
      <w:r>
        <w:rPr/>
        <w:t xml:space="preserve">Неисполнение предписания антимонопольного органа, которое выдано в порядке, предусмотренном статьей 33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 </w:t>
      </w:r>
    </w:p>
    <w:p>
      <w:pPr>
        <w:pStyle w:val="TextBody"/>
        <w:rPr/>
      </w:pPr>
      <w:r>
        <w:rPr>
          <w:rStyle w:val="StrongEmphasis"/>
        </w:rPr>
        <w:t>Статья 35. Государственный контроль за ограничивающими конкуренцию соглашениями хозяйствующих субъектов</w:t>
      </w:r>
    </w:p>
    <w:p>
      <w:pPr>
        <w:pStyle w:val="TextBody"/>
        <w:numPr>
          <w:ilvl w:val="0"/>
          <w:numId w:val="108"/>
        </w:numPr>
        <w:tabs>
          <w:tab w:val="left" w:pos="0" w:leader="none"/>
        </w:tabs>
        <w:spacing w:before="0" w:after="0"/>
        <w:ind w:left="707" w:hanging="283"/>
        <w:rPr/>
      </w:pPr>
      <w:r>
        <w:rPr/>
        <w:t xml:space="preserve">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 </w:t>
      </w:r>
    </w:p>
    <w:p>
      <w:pPr>
        <w:pStyle w:val="TextBody"/>
        <w:numPr>
          <w:ilvl w:val="0"/>
          <w:numId w:val="108"/>
        </w:numPr>
        <w:tabs>
          <w:tab w:val="left" w:pos="0" w:leader="none"/>
        </w:tabs>
        <w:spacing w:before="0" w:after="0"/>
        <w:ind w:left="707" w:hanging="283"/>
        <w:rPr/>
      </w:pPr>
      <w:r>
        <w:rPr/>
        <w:t xml:space="preserve">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перечнем, утвержденным федеральным антимонопольным органом. </w:t>
      </w:r>
    </w:p>
    <w:p>
      <w:pPr>
        <w:pStyle w:val="TextBody"/>
        <w:numPr>
          <w:ilvl w:val="0"/>
          <w:numId w:val="108"/>
        </w:numPr>
        <w:tabs>
          <w:tab w:val="left" w:pos="0" w:leader="none"/>
        </w:tabs>
        <w:ind w:left="707" w:hanging="283"/>
        <w:rPr/>
      </w:pPr>
      <w:r>
        <w:rPr/>
        <w:t xml:space="preserve">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 </w:t>
      </w:r>
    </w:p>
    <w:p>
      <w:pPr>
        <w:pStyle w:val="TextBody"/>
        <w:rPr/>
      </w:pPr>
      <w:r>
        <w:rP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TextBody"/>
        <w:numPr>
          <w:ilvl w:val="0"/>
          <w:numId w:val="109"/>
        </w:numPr>
        <w:tabs>
          <w:tab w:val="left" w:pos="0" w:leader="none"/>
        </w:tabs>
        <w:ind w:left="707" w:hanging="283"/>
        <w:rPr/>
      </w:pPr>
      <w:r>
        <w:rPr/>
        <w:t xml:space="preserve">Основаниями для принятия решения о несоответствии проекта соглашения в письменной форме требованиям антимонопольного законодательства являются: </w:t>
      </w:r>
    </w:p>
    <w:p>
      <w:pPr>
        <w:pStyle w:val="TextBody"/>
        <w:rPr/>
      </w:pPr>
      <w:r>
        <w:rPr/>
        <w:t>1) наличие условий, предусмотренных частями 1 - 4 статьи 11 настоящего Федерального закона, в случае отсутствия оснований для признания проекта соглашения допустимым в соответствии со статьей 12 или 13 настоящего Федерального закона;</w:t>
      </w:r>
    </w:p>
    <w:p>
      <w:pPr>
        <w:pStyle w:val="TextBody"/>
        <w:rPr/>
      </w:pPr>
      <w:r>
        <w:rP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pPr>
        <w:pStyle w:val="TextBody"/>
        <w:rPr/>
      </w:pPr>
      <w:r>
        <w:rPr/>
        <w:t>3) утратил силу.</w:t>
      </w:r>
    </w:p>
    <w:p>
      <w:pPr>
        <w:pStyle w:val="TextBody"/>
        <w:numPr>
          <w:ilvl w:val="0"/>
          <w:numId w:val="110"/>
        </w:numPr>
        <w:tabs>
          <w:tab w:val="left" w:pos="0" w:leader="none"/>
        </w:tabs>
        <w:spacing w:before="0" w:after="0"/>
        <w:ind w:left="707" w:hanging="283"/>
        <w:rPr/>
      </w:pPr>
      <w:r>
        <w:rPr/>
        <w:t xml:space="preserve">В случае необходимости срок рассмотрения указанного в части 1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 </w:t>
      </w:r>
    </w:p>
    <w:p>
      <w:pPr>
        <w:pStyle w:val="TextBody"/>
        <w:numPr>
          <w:ilvl w:val="0"/>
          <w:numId w:val="110"/>
        </w:numPr>
        <w:tabs>
          <w:tab w:val="left" w:pos="0" w:leader="none"/>
        </w:tabs>
        <w:spacing w:before="0" w:after="0"/>
        <w:ind w:left="707" w:hanging="283"/>
        <w:rPr/>
      </w:pPr>
      <w:r>
        <w:rPr/>
        <w:t xml:space="preserve">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 </w:t>
      </w:r>
    </w:p>
    <w:p>
      <w:pPr>
        <w:pStyle w:val="TextBody"/>
        <w:numPr>
          <w:ilvl w:val="0"/>
          <w:numId w:val="110"/>
        </w:numPr>
        <w:tabs>
          <w:tab w:val="left" w:pos="0" w:leader="none"/>
        </w:tabs>
        <w:spacing w:before="0" w:after="0"/>
        <w:ind w:left="707" w:hanging="283"/>
        <w:rPr/>
      </w:pPr>
      <w:r>
        <w:rPr/>
        <w:t xml:space="preserve">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t>
      </w:r>
    </w:p>
    <w:p>
      <w:pPr>
        <w:pStyle w:val="TextBody"/>
        <w:numPr>
          <w:ilvl w:val="0"/>
          <w:numId w:val="110"/>
        </w:numPr>
        <w:tabs>
          <w:tab w:val="left" w:pos="0" w:leader="none"/>
        </w:tabs>
        <w:ind w:left="707" w:hanging="283"/>
        <w:rPr/>
      </w:pPr>
      <w:r>
        <w:rPr/>
        <w:t xml:space="preserve">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 </w:t>
      </w:r>
    </w:p>
    <w:p>
      <w:pPr>
        <w:pStyle w:val="TextBody"/>
        <w:rPr/>
      </w:pPr>
      <w:r>
        <w:rP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pPr>
        <w:pStyle w:val="TextBody"/>
        <w:rPr/>
      </w:pPr>
      <w:r>
        <w:rPr/>
        <w:t>2) хозяйствующими субъектами, имеющими намерение достичь соглашения, не выполняется предписание антимонопольного органа, предусмотренное частью 7 настоящей статьи;</w:t>
      </w:r>
    </w:p>
    <w:p>
      <w:pPr>
        <w:pStyle w:val="TextBody"/>
        <w:rPr/>
      </w:pPr>
      <w:r>
        <w:rPr/>
        <w:t>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w:t>
      </w:r>
    </w:p>
    <w:p>
      <w:pPr>
        <w:pStyle w:val="TextBody"/>
        <w:numPr>
          <w:ilvl w:val="0"/>
          <w:numId w:val="111"/>
        </w:numPr>
        <w:tabs>
          <w:tab w:val="left" w:pos="0" w:leader="none"/>
        </w:tabs>
        <w:ind w:left="707" w:hanging="283"/>
        <w:rPr/>
      </w:pPr>
      <w:r>
        <w:rPr/>
        <w:t xml:space="preserve">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пунктом 3 части 8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 </w:t>
      </w:r>
    </w:p>
    <w:p>
      <w:pPr>
        <w:pStyle w:val="TextBody"/>
        <w:rPr/>
      </w:pPr>
      <w:r>
        <w:rPr/>
        <w:t>10 - 12. Утратили силу.</w:t>
      </w:r>
    </w:p>
    <w:p>
      <w:pPr>
        <w:pStyle w:val="TextBody"/>
        <w:rPr/>
      </w:pPr>
      <w:r>
        <w:rPr>
          <w:rStyle w:val="StrongEmphasis"/>
        </w:rPr>
        <w:t>Глава 8. ОТВЕТСТВЕННОСТЬ ЗА НАРУШЕНИЕ</w:t>
      </w:r>
    </w:p>
    <w:p>
      <w:pPr>
        <w:pStyle w:val="TextBody"/>
        <w:rPr/>
      </w:pPr>
      <w:r>
        <w:rPr>
          <w:rStyle w:val="StrongEmphasis"/>
        </w:rPr>
        <w:t>АНТИМОНОПОЛЬНОГО ЗАКОНОДАТЕЛЬСТВА</w:t>
      </w:r>
    </w:p>
    <w:p>
      <w:pPr>
        <w:pStyle w:val="TextBody"/>
        <w:rPr/>
      </w:pPr>
      <w:r>
        <w:rPr>
          <w:rStyle w:val="StrongEmphasis"/>
        </w:rPr>
        <w:t>Статья 36. Обязательность исполнения решений и предписаний антимонопольного органа</w:t>
      </w:r>
    </w:p>
    <w:p>
      <w:pPr>
        <w:pStyle w:val="TextBody"/>
        <w:rPr/>
      </w:pPr>
      <w:r>
        <w:rP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pPr>
        <w:pStyle w:val="TextBody"/>
        <w:rPr/>
      </w:pPr>
      <w:r>
        <w:rPr>
          <w:rStyle w:val="StrongEmphasis"/>
        </w:rPr>
        <w:t>Статья 37. Ответственность за нарушение антимонопольного законодательства</w:t>
      </w:r>
    </w:p>
    <w:p>
      <w:pPr>
        <w:pStyle w:val="TextBody"/>
        <w:numPr>
          <w:ilvl w:val="0"/>
          <w:numId w:val="112"/>
        </w:numPr>
        <w:tabs>
          <w:tab w:val="left" w:pos="0" w:leader="none"/>
        </w:tabs>
        <w:spacing w:before="0" w:after="0"/>
        <w:ind w:left="707" w:hanging="283"/>
        <w:rPr/>
      </w:pPr>
      <w:r>
        <w:rPr/>
        <w:t xml:space="preserve">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 </w:t>
      </w:r>
    </w:p>
    <w:p>
      <w:pPr>
        <w:pStyle w:val="TextBody"/>
        <w:numPr>
          <w:ilvl w:val="0"/>
          <w:numId w:val="112"/>
        </w:numPr>
        <w:tabs>
          <w:tab w:val="left" w:pos="0" w:leader="none"/>
        </w:tabs>
        <w:spacing w:before="0" w:after="0"/>
        <w:ind w:left="707" w:hanging="283"/>
        <w:rPr/>
      </w:pPr>
      <w:r>
        <w:rPr/>
        <w:t xml:space="preserve">Привлечение к ответственности лиц, указанных в части 1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 </w:t>
      </w:r>
    </w:p>
    <w:p>
      <w:pPr>
        <w:pStyle w:val="TextBody"/>
        <w:numPr>
          <w:ilvl w:val="0"/>
          <w:numId w:val="112"/>
        </w:numPr>
        <w:tabs>
          <w:tab w:val="left" w:pos="0" w:leader="none"/>
        </w:tabs>
        <w:ind w:left="707" w:hanging="283"/>
        <w:rPr/>
      </w:pPr>
      <w:r>
        <w:rPr/>
        <w:t xml:space="preserve">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 </w:t>
      </w:r>
    </w:p>
    <w:p>
      <w:pPr>
        <w:pStyle w:val="TextBody"/>
        <w:rPr/>
      </w:pPr>
      <w:r>
        <w:rPr>
          <w:rStyle w:val="StrongEmphasis"/>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pPr>
        <w:pStyle w:val="TextBody"/>
        <w:numPr>
          <w:ilvl w:val="0"/>
          <w:numId w:val="113"/>
        </w:numPr>
        <w:tabs>
          <w:tab w:val="left" w:pos="0" w:leader="none"/>
        </w:tabs>
        <w:spacing w:before="0" w:after="0"/>
        <w:ind w:left="707" w:hanging="283"/>
        <w:rPr/>
      </w:pPr>
      <w:r>
        <w:rPr/>
        <w:t xml:space="preserve">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 </w:t>
      </w:r>
    </w:p>
    <w:p>
      <w:pPr>
        <w:pStyle w:val="TextBody"/>
        <w:numPr>
          <w:ilvl w:val="0"/>
          <w:numId w:val="113"/>
        </w:numPr>
        <w:tabs>
          <w:tab w:val="left" w:pos="0" w:leader="none"/>
        </w:tabs>
        <w:ind w:left="707" w:hanging="283"/>
        <w:rPr/>
      </w:pPr>
      <w:r>
        <w:rPr/>
        <w:t xml:space="preserve">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 </w:t>
      </w:r>
    </w:p>
    <w:p>
      <w:pPr>
        <w:pStyle w:val="TextBody"/>
        <w:rPr/>
      </w:pPr>
      <w:r>
        <w:rPr/>
        <w:t>1) существует возможность обособления структурных подразделений коммерческой организации;</w:t>
      </w:r>
    </w:p>
    <w:p>
      <w:pPr>
        <w:pStyle w:val="TextBody"/>
        <w:rPr/>
      </w:pPr>
      <w:r>
        <w:rP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pPr>
        <w:pStyle w:val="TextBody"/>
        <w:rPr/>
      </w:pPr>
      <w:r>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pPr>
        <w:pStyle w:val="TextBody"/>
        <w:numPr>
          <w:ilvl w:val="0"/>
          <w:numId w:val="114"/>
        </w:numPr>
        <w:tabs>
          <w:tab w:val="left" w:pos="0" w:leader="none"/>
        </w:tabs>
        <w:ind w:left="707" w:hanging="283"/>
        <w:rPr/>
      </w:pPr>
      <w:r>
        <w:rPr/>
        <w:t xml:space="preserve">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 </w:t>
      </w:r>
    </w:p>
    <w:p>
      <w:pPr>
        <w:pStyle w:val="TextBody"/>
        <w:rPr/>
      </w:pPr>
      <w:r>
        <w:rPr>
          <w:rStyle w:val="StrongEmphasis"/>
        </w:rPr>
        <w:t>Глава 9. РАССМОТРЕНИЕ ДЕЛ О НАРУШЕНИИ</w:t>
      </w:r>
    </w:p>
    <w:p>
      <w:pPr>
        <w:pStyle w:val="TextBody"/>
        <w:rPr/>
      </w:pPr>
      <w:r>
        <w:rPr>
          <w:rStyle w:val="StrongEmphasis"/>
        </w:rPr>
        <w:t>АНТИМОНОПОЛЬНОГО ЗАКОНОДАТЕЛЬСТВА</w:t>
      </w:r>
    </w:p>
    <w:p>
      <w:pPr>
        <w:pStyle w:val="TextBody"/>
        <w:rPr/>
      </w:pPr>
      <w:r>
        <w:rPr>
          <w:rStyle w:val="StrongEmphasis"/>
        </w:rP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pPr>
        <w:pStyle w:val="TextBody"/>
        <w:numPr>
          <w:ilvl w:val="0"/>
          <w:numId w:val="115"/>
        </w:numPr>
        <w:tabs>
          <w:tab w:val="left" w:pos="0" w:leader="none"/>
        </w:tabs>
        <w:spacing w:before="0" w:after="0"/>
        <w:ind w:left="707" w:hanging="283"/>
        <w:rPr/>
      </w:pPr>
      <w:r>
        <w:rPr/>
        <w:t xml:space="preserve">Антимонопольный орган в пределах своих полномочий возбуждает и рассматривает дела о нарушении антимонопольного законодательства, принимает по результатам их рассмотрения решения и выдает предписания. </w:t>
      </w:r>
    </w:p>
    <w:p>
      <w:pPr>
        <w:pStyle w:val="TextBody"/>
        <w:numPr>
          <w:ilvl w:val="0"/>
          <w:numId w:val="115"/>
        </w:numPr>
        <w:tabs>
          <w:tab w:val="left" w:pos="0" w:leader="none"/>
        </w:tabs>
        <w:ind w:left="707" w:hanging="283"/>
        <w:rPr/>
      </w:pPr>
      <w:r>
        <w:rPr/>
        <w:t xml:space="preserve">Основанием для возбуждения и рассмотрения антимонопольным органом дела о нарушении антимонопольного законодательства является: </w:t>
      </w:r>
    </w:p>
    <w:p>
      <w:pPr>
        <w:pStyle w:val="TextBody"/>
        <w:rPr/>
      </w:pPr>
      <w:r>
        <w:rP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pPr>
        <w:pStyle w:val="TextBody"/>
        <w:rPr/>
      </w:pPr>
      <w:r>
        <w:rPr/>
        <w:t>2) заявление юридического или физического лица, указывающее на признаки нарушения антимонопольного законодательства (далее - заявление);</w:t>
      </w:r>
    </w:p>
    <w:p>
      <w:pPr>
        <w:pStyle w:val="TextBody"/>
        <w:rPr/>
      </w:pPr>
      <w:r>
        <w:rPr/>
        <w:t>3) обнаружение антимонопольным органом признаков нарушения антимонопольного законодательства;</w:t>
      </w:r>
    </w:p>
    <w:p>
      <w:pPr>
        <w:pStyle w:val="TextBody"/>
        <w:rPr/>
      </w:pPr>
      <w:r>
        <w:rPr/>
        <w:t>4) сообщение средства массовой информации, указывающее на наличие признаков нарушения антимонопольного законодательства;</w:t>
      </w:r>
    </w:p>
    <w:p>
      <w:pPr>
        <w:pStyle w:val="TextBody"/>
        <w:rPr/>
      </w:pPr>
      <w:r>
        <w:rP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pPr>
        <w:pStyle w:val="TextBody"/>
        <w:numPr>
          <w:ilvl w:val="0"/>
          <w:numId w:val="116"/>
        </w:numPr>
        <w:tabs>
          <w:tab w:val="left" w:pos="0" w:leader="none"/>
        </w:tabs>
        <w:spacing w:before="0" w:after="0"/>
        <w:ind w:left="707" w:hanging="283"/>
        <w:rPr/>
      </w:pPr>
      <w:r>
        <w:rPr/>
        <w:t xml:space="preserve">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 </w:t>
      </w:r>
    </w:p>
    <w:p>
      <w:pPr>
        <w:pStyle w:val="TextBody"/>
        <w:numPr>
          <w:ilvl w:val="0"/>
          <w:numId w:val="116"/>
        </w:numPr>
        <w:tabs>
          <w:tab w:val="left" w:pos="0" w:leader="none"/>
        </w:tabs>
        <w:spacing w:before="0" w:after="0"/>
        <w:ind w:left="707" w:hanging="283"/>
        <w:rPr/>
      </w:pPr>
      <w:r>
        <w:rPr/>
        <w:t xml:space="preserve">Правила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 </w:t>
      </w:r>
    </w:p>
    <w:p>
      <w:pPr>
        <w:pStyle w:val="TextBody"/>
        <w:numPr>
          <w:ilvl w:val="0"/>
          <w:numId w:val="116"/>
        </w:numPr>
        <w:tabs>
          <w:tab w:val="left" w:pos="0" w:leader="none"/>
        </w:tabs>
        <w:ind w:left="707" w:hanging="283"/>
        <w:rPr/>
      </w:pPr>
      <w:r>
        <w:rPr/>
        <w:t xml:space="preserve">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законодательством Российской Федерации об административных правонарушениях. </w:t>
      </w:r>
    </w:p>
    <w:p>
      <w:pPr>
        <w:pStyle w:val="TextBody"/>
        <w:rPr/>
      </w:pPr>
      <w:r>
        <w:rPr>
          <w:rStyle w:val="StrongEmphasis"/>
        </w:rPr>
        <w:t>Статья 39.1. Предупреждение о прекращении действий (бездействия), которые содержат признаки нарушения антимонопольного законодательства</w:t>
      </w:r>
    </w:p>
    <w:p>
      <w:pPr>
        <w:pStyle w:val="TextBody"/>
        <w:numPr>
          <w:ilvl w:val="0"/>
          <w:numId w:val="117"/>
        </w:numPr>
        <w:tabs>
          <w:tab w:val="left" w:pos="0" w:leader="none"/>
        </w:tabs>
        <w:spacing w:before="0" w:after="0"/>
        <w:ind w:left="707" w:hanging="283"/>
        <w:rPr/>
      </w:pPr>
      <w:r>
        <w:rPr/>
        <w:t xml:space="preserve">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 </w:t>
      </w:r>
    </w:p>
    <w:p>
      <w:pPr>
        <w:pStyle w:val="TextBody"/>
        <w:numPr>
          <w:ilvl w:val="0"/>
          <w:numId w:val="117"/>
        </w:numPr>
        <w:tabs>
          <w:tab w:val="left" w:pos="0" w:leader="none"/>
        </w:tabs>
        <w:spacing w:before="0" w:after="0"/>
        <w:ind w:left="707" w:hanging="283"/>
        <w:rPr/>
      </w:pPr>
      <w:r>
        <w:rPr/>
        <w:t xml:space="preserve">Предупреждение выдается лицам, указанным в части 1 настоящей статьи, в случае выявления признаков нарушения пунктов 3, 5, 6 и 8 части 1 статьи 10, статей 14.1, 14.2, 14.3, 14.7, 14.8 и 15 настоящего Федерального закона. Принятие антимонопольным органом решения о возбуждении дела о нарушении пунктов 3, 5, 6 и 8 части 1 статьи 10, статей 14.1, 14.2, 14.3, 14.7, 14.8 и 15 настоящего Федерального закона без вынесения предупреждения и до завершения срока его выполнения не допускается. </w:t>
      </w:r>
    </w:p>
    <w:p>
      <w:pPr>
        <w:pStyle w:val="TextBody"/>
        <w:numPr>
          <w:ilvl w:val="0"/>
          <w:numId w:val="117"/>
        </w:numPr>
        <w:tabs>
          <w:tab w:val="left" w:pos="0" w:leader="none"/>
        </w:tabs>
        <w:spacing w:before="0" w:after="0"/>
        <w:ind w:left="707" w:hanging="283"/>
        <w:rPr/>
      </w:pPr>
      <w:r>
        <w:rPr/>
        <w:t xml:space="preserve">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пунктов 3, 5, 6 и 8 части 1 статьи 10, статей 14.1, 14.2, 14.3, 14.7, 14.8 и 15 настоящего Федерального закона, которые не были известны на момент возбуждения такого дела. </w:t>
      </w:r>
    </w:p>
    <w:p>
      <w:pPr>
        <w:pStyle w:val="TextBody"/>
        <w:numPr>
          <w:ilvl w:val="0"/>
          <w:numId w:val="117"/>
        </w:numPr>
        <w:tabs>
          <w:tab w:val="left" w:pos="0" w:leader="none"/>
        </w:tabs>
        <w:ind w:left="707" w:hanging="283"/>
        <w:rPr/>
      </w:pPr>
      <w:r>
        <w:rPr/>
        <w:t xml:space="preserve">Предупреждение должно содержать: </w:t>
      </w:r>
    </w:p>
    <w:p>
      <w:pPr>
        <w:pStyle w:val="TextBody"/>
        <w:rPr/>
      </w:pPr>
      <w:r>
        <w:rPr/>
        <w:t>1) выводы о наличии оснований для его выдачи;</w:t>
      </w:r>
    </w:p>
    <w:p>
      <w:pPr>
        <w:pStyle w:val="TextBody"/>
        <w:rPr/>
      </w:pPr>
      <w:r>
        <w:rPr/>
        <w:t>2) нормы антимонопольного законодательства, которые нарушены действиями (бездействием) лица, которому выдается предупреждение;</w:t>
      </w:r>
    </w:p>
    <w:p>
      <w:pPr>
        <w:pStyle w:val="TextBody"/>
        <w:rPr/>
      </w:pPr>
      <w:r>
        <w:rP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pPr>
        <w:pStyle w:val="TextBody"/>
        <w:numPr>
          <w:ilvl w:val="0"/>
          <w:numId w:val="118"/>
        </w:numPr>
        <w:tabs>
          <w:tab w:val="left" w:pos="0" w:leader="none"/>
        </w:tabs>
        <w:spacing w:before="0" w:after="0"/>
        <w:ind w:left="707" w:hanging="283"/>
        <w:rPr/>
      </w:pPr>
      <w:r>
        <w:rPr/>
        <w:t xml:space="preserve">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 </w:t>
      </w:r>
    </w:p>
    <w:p>
      <w:pPr>
        <w:pStyle w:val="TextBody"/>
        <w:numPr>
          <w:ilvl w:val="0"/>
          <w:numId w:val="118"/>
        </w:numPr>
        <w:tabs>
          <w:tab w:val="left" w:pos="0" w:leader="none"/>
        </w:tabs>
        <w:spacing w:before="0" w:after="0"/>
        <w:ind w:left="707" w:hanging="283"/>
        <w:rPr/>
      </w:pPr>
      <w:r>
        <w:rPr/>
        <w:t xml:space="preserve">Антимонопольный орган должен быть уведомлен о выполнении предупреждения в течение трех дней со дня окончания срока, установленного для его выполнения. </w:t>
      </w:r>
    </w:p>
    <w:p>
      <w:pPr>
        <w:pStyle w:val="TextBody"/>
        <w:numPr>
          <w:ilvl w:val="0"/>
          <w:numId w:val="118"/>
        </w:numPr>
        <w:tabs>
          <w:tab w:val="left" w:pos="0" w:leader="none"/>
        </w:tabs>
        <w:spacing w:before="0" w:after="0"/>
        <w:ind w:left="707" w:hanging="283"/>
        <w:rPr/>
      </w:pPr>
      <w:r>
        <w:rPr/>
        <w:t xml:space="preserve">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 </w:t>
      </w:r>
    </w:p>
    <w:p>
      <w:pPr>
        <w:pStyle w:val="TextBody"/>
        <w:numPr>
          <w:ilvl w:val="0"/>
          <w:numId w:val="118"/>
        </w:numPr>
        <w:tabs>
          <w:tab w:val="left" w:pos="0" w:leader="none"/>
        </w:tabs>
        <w:spacing w:before="0" w:after="0"/>
        <w:ind w:left="707" w:hanging="283"/>
        <w:rPr/>
      </w:pPr>
      <w:r>
        <w:rPr/>
        <w:t xml:space="preserve">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 </w:t>
      </w:r>
    </w:p>
    <w:p>
      <w:pPr>
        <w:pStyle w:val="TextBody"/>
        <w:numPr>
          <w:ilvl w:val="0"/>
          <w:numId w:val="118"/>
        </w:numPr>
        <w:tabs>
          <w:tab w:val="left" w:pos="0" w:leader="none"/>
        </w:tabs>
        <w:ind w:left="707" w:hanging="283"/>
        <w:rPr/>
      </w:pPr>
      <w:r>
        <w:rPr/>
        <w:t xml:space="preserve">Порядок выдачи предупреждения и его форма утверждаются федеральным антимонопольным органом. </w:t>
      </w:r>
    </w:p>
    <w:p>
      <w:pPr>
        <w:pStyle w:val="TextBody"/>
        <w:rPr/>
      </w:pPr>
      <w:r>
        <w:rPr>
          <w:rStyle w:val="StrongEmphasis"/>
        </w:rPr>
        <w:t>Статья 40. Комиссия по рассмотрению дел о нарушении антимонопольного законодательства</w:t>
      </w:r>
    </w:p>
    <w:p>
      <w:pPr>
        <w:pStyle w:val="TextBody"/>
        <w:numPr>
          <w:ilvl w:val="0"/>
          <w:numId w:val="119"/>
        </w:numPr>
        <w:tabs>
          <w:tab w:val="left" w:pos="0" w:leader="none"/>
        </w:tabs>
        <w:spacing w:before="0" w:after="0"/>
        <w:ind w:left="707" w:hanging="283"/>
        <w:rPr/>
      </w:pPr>
      <w:r>
        <w:rPr/>
        <w:t xml:space="preserve">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 </w:t>
      </w:r>
    </w:p>
    <w:p>
      <w:pPr>
        <w:pStyle w:val="TextBody"/>
        <w:numPr>
          <w:ilvl w:val="0"/>
          <w:numId w:val="119"/>
        </w:numPr>
        <w:tabs>
          <w:tab w:val="left" w:pos="0" w:leader="none"/>
        </w:tabs>
        <w:spacing w:before="0" w:after="0"/>
        <w:ind w:left="707" w:hanging="283"/>
        <w:rPr/>
      </w:pPr>
      <w:r>
        <w:rPr/>
        <w:t xml:space="preserve">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 </w:t>
      </w:r>
    </w:p>
    <w:p>
      <w:pPr>
        <w:pStyle w:val="TextBody"/>
        <w:numPr>
          <w:ilvl w:val="0"/>
          <w:numId w:val="119"/>
        </w:numPr>
        <w:tabs>
          <w:tab w:val="left" w:pos="0" w:leader="none"/>
        </w:tabs>
        <w:spacing w:before="0" w:after="0"/>
        <w:ind w:left="707" w:hanging="283"/>
        <w:rPr/>
      </w:pPr>
      <w:r>
        <w:rPr/>
        <w:t xml:space="preserve">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 </w:t>
      </w:r>
    </w:p>
    <w:p>
      <w:pPr>
        <w:pStyle w:val="TextBody"/>
        <w:numPr>
          <w:ilvl w:val="0"/>
          <w:numId w:val="119"/>
        </w:numPr>
        <w:tabs>
          <w:tab w:val="left" w:pos="0" w:leader="none"/>
        </w:tabs>
        <w:spacing w:before="0" w:after="0"/>
        <w:ind w:left="707" w:hanging="283"/>
        <w:rPr/>
      </w:pPr>
      <w:r>
        <w:rPr/>
        <w:t xml:space="preserve">Утратил силу с 1 сентября 2013 года. </w:t>
      </w:r>
    </w:p>
    <w:p>
      <w:pPr>
        <w:pStyle w:val="TextBody"/>
        <w:numPr>
          <w:ilvl w:val="0"/>
          <w:numId w:val="119"/>
        </w:numPr>
        <w:tabs>
          <w:tab w:val="left" w:pos="0" w:leader="none"/>
        </w:tabs>
        <w:spacing w:before="0" w:after="0"/>
        <w:ind w:left="707" w:hanging="283"/>
        <w:rPr/>
      </w:pPr>
      <w:r>
        <w:rPr/>
        <w:t xml:space="preserve">Количество членов (включая председателя) комиссий по рассмотрению дел о нарушении антимонопольного законодательства, указанных в частях 3 и 4 настоящей статьи, должно быть четным. </w:t>
      </w:r>
    </w:p>
    <w:p>
      <w:pPr>
        <w:pStyle w:val="TextBody"/>
        <w:numPr>
          <w:ilvl w:val="0"/>
          <w:numId w:val="119"/>
        </w:numPr>
        <w:tabs>
          <w:tab w:val="left" w:pos="0" w:leader="none"/>
        </w:tabs>
        <w:ind w:left="707" w:hanging="283"/>
        <w:rPr/>
      </w:pPr>
      <w:r>
        <w:rPr/>
        <w:t xml:space="preserve">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 </w:t>
      </w:r>
    </w:p>
    <w:p>
      <w:pPr>
        <w:pStyle w:val="TextBody"/>
        <w:rPr/>
      </w:pPr>
      <w:r>
        <w:rP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pPr>
        <w:pStyle w:val="TextBody"/>
        <w:numPr>
          <w:ilvl w:val="0"/>
          <w:numId w:val="120"/>
        </w:numPr>
        <w:tabs>
          <w:tab w:val="left" w:pos="0" w:leader="none"/>
        </w:tabs>
        <w:ind w:left="707" w:hanging="283"/>
        <w:rPr/>
      </w:pPr>
      <w:r>
        <w:rPr/>
        <w:t xml:space="preserve">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 </w:t>
      </w:r>
    </w:p>
    <w:p>
      <w:pPr>
        <w:pStyle w:val="TextBody"/>
        <w:rPr/>
      </w:pPr>
      <w:r>
        <w:rPr>
          <w:rStyle w:val="StrongEmphasis"/>
        </w:rPr>
        <w:t>Статья 41. Акты, принимаемые комиссией</w:t>
      </w:r>
    </w:p>
    <w:p>
      <w:pPr>
        <w:pStyle w:val="TextBody"/>
        <w:numPr>
          <w:ilvl w:val="0"/>
          <w:numId w:val="121"/>
        </w:numPr>
        <w:tabs>
          <w:tab w:val="left" w:pos="0" w:leader="none"/>
        </w:tabs>
        <w:spacing w:before="0" w:after="0"/>
        <w:ind w:left="707" w:hanging="283"/>
        <w:rPr/>
      </w:pPr>
      <w:r>
        <w:rPr/>
        <w:t xml:space="preserve">Комиссия принимает заключения об обстоятельствах дела, предупреждения, определения, решения, предписания. </w:t>
      </w:r>
    </w:p>
    <w:p>
      <w:pPr>
        <w:pStyle w:val="TextBody"/>
        <w:numPr>
          <w:ilvl w:val="0"/>
          <w:numId w:val="121"/>
        </w:numPr>
        <w:tabs>
          <w:tab w:val="left" w:pos="0" w:leader="none"/>
        </w:tabs>
        <w:spacing w:before="0" w:after="0"/>
        <w:ind w:left="707" w:hanging="283"/>
        <w:rPr/>
      </w:pPr>
      <w:r>
        <w:rPr/>
        <w:t xml:space="preserve">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 </w:t>
      </w:r>
    </w:p>
    <w:p>
      <w:pPr>
        <w:pStyle w:val="TextBody"/>
        <w:numPr>
          <w:ilvl w:val="0"/>
          <w:numId w:val="121"/>
        </w:numPr>
        <w:tabs>
          <w:tab w:val="left" w:pos="0" w:leader="none"/>
        </w:tabs>
        <w:ind w:left="707" w:hanging="283"/>
        <w:rPr/>
      </w:pPr>
      <w:r>
        <w:rPr/>
        <w:t xml:space="preserve">Решение по делу о нарушении антимонопольного законодательства состоит из вводной, описательной, мотивировочной и резолютивной частей. </w:t>
      </w:r>
    </w:p>
    <w:p>
      <w:pPr>
        <w:pStyle w:val="TextBody"/>
        <w:rPr/>
      </w:pPr>
      <w:r>
        <w:rP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pPr>
        <w:pStyle w:val="TextBody"/>
        <w:rPr/>
      </w:pPr>
      <w:r>
        <w:rP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pPr>
        <w:pStyle w:val="TextBody"/>
        <w:rPr/>
      </w:pPr>
      <w:r>
        <w:rPr/>
        <w:t>3.3. В мотивировочной части решения по делу о нарушении антимонопольного законодательства должны быть указаны:</w:t>
      </w:r>
    </w:p>
    <w:p>
      <w:pPr>
        <w:pStyle w:val="TextBody"/>
        <w:rPr/>
      </w:pPr>
      <w:r>
        <w:rP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TextBody"/>
        <w:rPr/>
      </w:pPr>
      <w:r>
        <w:rP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TextBody"/>
        <w:rPr/>
      </w:pPr>
      <w:r>
        <w:rPr/>
        <w:t>3) законы и иные нормативные правовые акты, которыми руководствовалась комиссия при принятии решения.</w:t>
      </w:r>
    </w:p>
    <w:p>
      <w:pPr>
        <w:pStyle w:val="TextBody"/>
        <w:rPr/>
      </w:pPr>
      <w:r>
        <w:rPr/>
        <w:t>3.4. Резолютивная часть решения по делу о нарушении антимонопольного законодательства должна содержать:</w:t>
      </w:r>
    </w:p>
    <w:p>
      <w:pPr>
        <w:pStyle w:val="TextBody"/>
        <w:rPr/>
      </w:pPr>
      <w:r>
        <w:rPr/>
        <w:t>1) выводы о наличии или об отсутствии оснований для прекращения рассмотрения дела;</w:t>
      </w:r>
    </w:p>
    <w:p>
      <w:pPr>
        <w:pStyle w:val="TextBody"/>
        <w:rPr/>
      </w:pPr>
      <w:r>
        <w:rPr/>
        <w:t>2) выводы о наличии или об отсутствии нарушения антимонопольного законодательства в действиях (бездействии) ответчика по делу;</w:t>
      </w:r>
    </w:p>
    <w:p>
      <w:pPr>
        <w:pStyle w:val="TextBody"/>
        <w:rPr/>
      </w:pPr>
      <w:r>
        <w:rPr/>
        <w:t>3) выводы о наличии или об отсутствии оснований для выдачи предписания и перечень действий, включаемых в предписание и подлежащих выполнению;</w:t>
      </w:r>
    </w:p>
    <w:p>
      <w:pPr>
        <w:pStyle w:val="TextBody"/>
        <w:rPr/>
      </w:pPr>
      <w:r>
        <w:rP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pPr>
        <w:pStyle w:val="TextBody"/>
        <w:numPr>
          <w:ilvl w:val="0"/>
          <w:numId w:val="122"/>
        </w:numPr>
        <w:tabs>
          <w:tab w:val="left" w:pos="0" w:leader="none"/>
        </w:tabs>
        <w:spacing w:before="0" w:after="0"/>
        <w:ind w:left="707" w:hanging="283"/>
        <w:rPr/>
      </w:pPr>
      <w:r>
        <w:rPr/>
        <w:t xml:space="preserve">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 </w:t>
      </w:r>
    </w:p>
    <w:p>
      <w:pPr>
        <w:pStyle w:val="TextBody"/>
        <w:numPr>
          <w:ilvl w:val="0"/>
          <w:numId w:val="122"/>
        </w:numPr>
        <w:tabs>
          <w:tab w:val="left" w:pos="0" w:leader="none"/>
        </w:tabs>
        <w:spacing w:before="0" w:after="0"/>
        <w:ind w:left="707" w:hanging="283"/>
        <w:rPr/>
      </w:pPr>
      <w:r>
        <w:rPr/>
        <w:t xml:space="preserve">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 </w:t>
      </w:r>
    </w:p>
    <w:p>
      <w:pPr>
        <w:pStyle w:val="TextBody"/>
        <w:numPr>
          <w:ilvl w:val="0"/>
          <w:numId w:val="122"/>
        </w:numPr>
        <w:tabs>
          <w:tab w:val="left" w:pos="0" w:leader="none"/>
        </w:tabs>
        <w:spacing w:before="0" w:after="0"/>
        <w:ind w:left="707" w:hanging="283"/>
        <w:rPr/>
      </w:pPr>
      <w:r>
        <w:rPr/>
        <w:t xml:space="preserve">Формы принимаемых комиссией актов утверждаются федеральным антимонопольным органом. </w:t>
      </w:r>
    </w:p>
    <w:p>
      <w:pPr>
        <w:pStyle w:val="TextBody"/>
        <w:numPr>
          <w:ilvl w:val="0"/>
          <w:numId w:val="122"/>
        </w:numPr>
        <w:tabs>
          <w:tab w:val="left" w:pos="0" w:leader="none"/>
        </w:tabs>
        <w:ind w:left="707" w:hanging="283"/>
        <w:rPr/>
      </w:pPr>
      <w:r>
        <w:rPr/>
        <w:t xml:space="preserve">Акты, указанные в настоящей статье, могут подписываться усиленной квалифицированной электронной подписью председателя комиссии и членов комиссии. </w:t>
      </w:r>
    </w:p>
    <w:p>
      <w:pPr>
        <w:pStyle w:val="TextBody"/>
        <w:rPr/>
      </w:pPr>
      <w:r>
        <w:rPr>
          <w:rStyle w:val="StrongEmphasis"/>
        </w:rPr>
        <w:t>Статья 41.1. Сроки давности рассмотрения дела о нарушении антимонопольного законодательства</w:t>
      </w:r>
    </w:p>
    <w:p>
      <w:pPr>
        <w:pStyle w:val="TextBody"/>
        <w:rPr/>
      </w:pPr>
      <w:r>
        <w:rPr/>
        <w:t>(введена Федеральным законом от 17.07.2009 N 164-ФЗ)</w:t>
      </w:r>
    </w:p>
    <w:p>
      <w:pPr>
        <w:pStyle w:val="TextBody"/>
        <w:rPr/>
      </w:pPr>
      <w:r>
        <w:rP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pPr>
        <w:pStyle w:val="TextBody"/>
        <w:rPr/>
      </w:pPr>
      <w:r>
        <w:rPr>
          <w:rStyle w:val="StrongEmphasis"/>
        </w:rPr>
        <w:t>Статья 42. Лица, участвующие в деле о нарушении антимонопольного законодательства</w:t>
      </w:r>
    </w:p>
    <w:p>
      <w:pPr>
        <w:pStyle w:val="TextBody"/>
        <w:numPr>
          <w:ilvl w:val="0"/>
          <w:numId w:val="123"/>
        </w:numPr>
        <w:tabs>
          <w:tab w:val="left" w:pos="0" w:leader="none"/>
        </w:tabs>
        <w:ind w:left="707" w:hanging="283"/>
        <w:rPr/>
      </w:pPr>
      <w:r>
        <w:rPr/>
        <w:t xml:space="preserve">Лицами, участвующими в деле о нарушении антимонопольного законодательства, являются: </w:t>
      </w:r>
    </w:p>
    <w:p>
      <w:pPr>
        <w:pStyle w:val="TextBody"/>
        <w:rPr/>
      </w:pPr>
      <w:r>
        <w:rPr/>
        <w:t>1) заявитель - лицо, подавшее заявление, государственный орган, орган местного самоуправления, направившие материалы;</w:t>
      </w:r>
    </w:p>
    <w:p>
      <w:pPr>
        <w:pStyle w:val="TextBody"/>
        <w:rPr/>
      </w:pPr>
      <w:r>
        <w:rP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pPr>
        <w:pStyle w:val="TextBody"/>
        <w:rPr/>
      </w:pPr>
      <w:r>
        <w:rP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pPr>
        <w:pStyle w:val="TextBody"/>
        <w:numPr>
          <w:ilvl w:val="0"/>
          <w:numId w:val="124"/>
        </w:numPr>
        <w:tabs>
          <w:tab w:val="left" w:pos="0" w:leader="none"/>
        </w:tabs>
        <w:spacing w:before="0" w:after="0"/>
        <w:ind w:left="707" w:hanging="283"/>
        <w:rPr/>
      </w:pPr>
      <w:r>
        <w:rPr/>
        <w:t xml:space="preserve">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 </w:t>
      </w:r>
    </w:p>
    <w:p>
      <w:pPr>
        <w:pStyle w:val="TextBody"/>
        <w:numPr>
          <w:ilvl w:val="0"/>
          <w:numId w:val="124"/>
        </w:numPr>
        <w:tabs>
          <w:tab w:val="left" w:pos="0" w:leader="none"/>
        </w:tabs>
        <w:spacing w:before="0" w:after="0"/>
        <w:ind w:left="707" w:hanging="283"/>
        <w:rPr/>
      </w:pPr>
      <w:r>
        <w:rPr/>
        <w:t xml:space="preserve">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 </w:t>
      </w:r>
    </w:p>
    <w:p>
      <w:pPr>
        <w:pStyle w:val="TextBody"/>
        <w:numPr>
          <w:ilvl w:val="0"/>
          <w:numId w:val="124"/>
        </w:numPr>
        <w:tabs>
          <w:tab w:val="left" w:pos="0" w:leader="none"/>
        </w:tabs>
        <w:ind w:left="707" w:hanging="283"/>
        <w:rPr/>
      </w:pPr>
      <w:r>
        <w:rPr/>
        <w:t xml:space="preserve">Утратил силу. </w:t>
      </w:r>
    </w:p>
    <w:p>
      <w:pPr>
        <w:pStyle w:val="TextBody"/>
        <w:rPr/>
      </w:pPr>
      <w:r>
        <w:rPr>
          <w:rStyle w:val="StrongEmphasis"/>
        </w:rPr>
        <w:t>Статья 42.1. Иные лица, участвующие в рассмотрении дела о нарушении антимонопольного законодательства</w:t>
      </w:r>
    </w:p>
    <w:p>
      <w:pPr>
        <w:pStyle w:val="TextBody"/>
        <w:numPr>
          <w:ilvl w:val="0"/>
          <w:numId w:val="125"/>
        </w:numPr>
        <w:tabs>
          <w:tab w:val="left" w:pos="0" w:leader="none"/>
        </w:tabs>
        <w:spacing w:before="0" w:after="0"/>
        <w:ind w:left="707" w:hanging="283"/>
        <w:rPr/>
      </w:pPr>
      <w:r>
        <w:rPr/>
        <w:t xml:space="preserve">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w:t>
      </w:r>
    </w:p>
    <w:p>
      <w:pPr>
        <w:pStyle w:val="TextBody"/>
        <w:numPr>
          <w:ilvl w:val="0"/>
          <w:numId w:val="125"/>
        </w:numPr>
        <w:tabs>
          <w:tab w:val="left" w:pos="0" w:leader="none"/>
        </w:tabs>
        <w:spacing w:before="0" w:after="0"/>
        <w:ind w:left="707" w:hanging="283"/>
        <w:rPr/>
      </w:pPr>
      <w:r>
        <w:rPr/>
        <w:t xml:space="preserve">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 </w:t>
      </w:r>
    </w:p>
    <w:p>
      <w:pPr>
        <w:pStyle w:val="TextBody"/>
        <w:numPr>
          <w:ilvl w:val="0"/>
          <w:numId w:val="125"/>
        </w:numPr>
        <w:tabs>
          <w:tab w:val="left" w:pos="0" w:leader="none"/>
        </w:tabs>
        <w:spacing w:before="0" w:after="0"/>
        <w:ind w:left="707" w:hanging="283"/>
        <w:rPr/>
      </w:pPr>
      <w:r>
        <w:rPr/>
        <w:t xml:space="preserve">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 </w:t>
      </w:r>
    </w:p>
    <w:p>
      <w:pPr>
        <w:pStyle w:val="TextBody"/>
        <w:numPr>
          <w:ilvl w:val="0"/>
          <w:numId w:val="125"/>
        </w:numPr>
        <w:tabs>
          <w:tab w:val="left" w:pos="0" w:leader="none"/>
        </w:tabs>
        <w:spacing w:before="0" w:after="0"/>
        <w:ind w:left="707" w:hanging="283"/>
        <w:rPr/>
      </w:pPr>
      <w:r>
        <w:rPr/>
        <w:t xml:space="preserve">В случае оплаты услуг экспертов и переводчиков из средств федерального бюджета отбор таких лиц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pPr>
        <w:pStyle w:val="TextBody"/>
        <w:numPr>
          <w:ilvl w:val="0"/>
          <w:numId w:val="125"/>
        </w:numPr>
        <w:tabs>
          <w:tab w:val="left" w:pos="0" w:leader="none"/>
        </w:tabs>
        <w:spacing w:before="0" w:after="0"/>
        <w:ind w:left="707" w:hanging="283"/>
        <w:rPr/>
      </w:pPr>
      <w:r>
        <w:rPr/>
        <w:t xml:space="preserve">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 </w:t>
      </w:r>
    </w:p>
    <w:p>
      <w:pPr>
        <w:pStyle w:val="TextBody"/>
        <w:numPr>
          <w:ilvl w:val="0"/>
          <w:numId w:val="125"/>
        </w:numPr>
        <w:tabs>
          <w:tab w:val="left" w:pos="0" w:leader="none"/>
        </w:tabs>
        <w:spacing w:before="0" w:after="0"/>
        <w:ind w:left="707" w:hanging="283"/>
        <w:rPr/>
      </w:pPr>
      <w:r>
        <w:rPr/>
        <w:t xml:space="preserve">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 </w:t>
      </w:r>
    </w:p>
    <w:p>
      <w:pPr>
        <w:pStyle w:val="TextBody"/>
        <w:numPr>
          <w:ilvl w:val="0"/>
          <w:numId w:val="125"/>
        </w:numPr>
        <w:tabs>
          <w:tab w:val="left" w:pos="0" w:leader="none"/>
        </w:tabs>
        <w:spacing w:before="0" w:after="0"/>
        <w:ind w:left="707" w:hanging="283"/>
        <w:rPr/>
      </w:pPr>
      <w:r>
        <w:rPr/>
        <w:t xml:space="preserve">За дачу заведомо ложного заключения эксперт несет ответственность, предусмотренную законодательством Российской Федерации. </w:t>
      </w:r>
    </w:p>
    <w:p>
      <w:pPr>
        <w:pStyle w:val="TextBody"/>
        <w:numPr>
          <w:ilvl w:val="0"/>
          <w:numId w:val="125"/>
        </w:numPr>
        <w:tabs>
          <w:tab w:val="left" w:pos="0" w:leader="none"/>
        </w:tabs>
        <w:spacing w:before="0" w:after="0"/>
        <w:ind w:left="707" w:hanging="283"/>
        <w:rPr/>
      </w:pPr>
      <w:r>
        <w:rPr/>
        <w:t xml:space="preserve">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 </w:t>
      </w:r>
    </w:p>
    <w:p>
      <w:pPr>
        <w:pStyle w:val="TextBody"/>
        <w:numPr>
          <w:ilvl w:val="0"/>
          <w:numId w:val="125"/>
        </w:numPr>
        <w:tabs>
          <w:tab w:val="left" w:pos="0" w:leader="none"/>
        </w:tabs>
        <w:ind w:left="707" w:hanging="283"/>
        <w:rPr/>
      </w:pPr>
      <w:r>
        <w:rPr/>
        <w:t xml:space="preserve">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 </w:t>
      </w:r>
    </w:p>
    <w:p>
      <w:pPr>
        <w:pStyle w:val="TextBody"/>
        <w:rPr/>
      </w:pPr>
      <w:r>
        <w:rPr>
          <w:rStyle w:val="StrongEmphasis"/>
        </w:rPr>
        <w:t>Статья 42.2. Отводы членов комиссии по рассмотрению дела о нарушении антимонопольного законодательства</w:t>
      </w:r>
    </w:p>
    <w:p>
      <w:pPr>
        <w:pStyle w:val="TextBody"/>
        <w:numPr>
          <w:ilvl w:val="0"/>
          <w:numId w:val="126"/>
        </w:numPr>
        <w:tabs>
          <w:tab w:val="left" w:pos="0" w:leader="none"/>
        </w:tabs>
        <w:spacing w:before="0" w:after="0"/>
        <w:ind w:left="707" w:hanging="283"/>
        <w:rPr/>
      </w:pPr>
      <w:r>
        <w:rPr/>
        <w:t xml:space="preserve">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 </w:t>
      </w:r>
    </w:p>
    <w:p>
      <w:pPr>
        <w:pStyle w:val="TextBody"/>
        <w:numPr>
          <w:ilvl w:val="0"/>
          <w:numId w:val="126"/>
        </w:numPr>
        <w:tabs>
          <w:tab w:val="left" w:pos="0" w:leader="none"/>
        </w:tabs>
        <w:spacing w:before="0" w:after="0"/>
        <w:ind w:left="707" w:hanging="283"/>
        <w:rPr/>
      </w:pPr>
      <w:r>
        <w:rPr/>
        <w:t xml:space="preserve">Отвод может быть заявлен лицами, участвующими в деле о нарушении антимонопольного законодательства. </w:t>
      </w:r>
    </w:p>
    <w:p>
      <w:pPr>
        <w:pStyle w:val="TextBody"/>
        <w:numPr>
          <w:ilvl w:val="0"/>
          <w:numId w:val="126"/>
        </w:numPr>
        <w:tabs>
          <w:tab w:val="left" w:pos="0" w:leader="none"/>
        </w:tabs>
        <w:ind w:left="707" w:hanging="283"/>
        <w:rPr/>
      </w:pPr>
      <w:r>
        <w:rPr/>
        <w:t xml:space="preserve">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 </w:t>
      </w:r>
    </w:p>
    <w:p>
      <w:pPr>
        <w:pStyle w:val="TextBody"/>
        <w:rPr/>
      </w:pPr>
      <w:r>
        <w:rPr>
          <w:rStyle w:val="StrongEmphasis"/>
        </w:rPr>
        <w:t>Статья 43. Права и обязанности лиц, участвующих в деле о нарушении антимонопольного законодательства</w:t>
      </w:r>
    </w:p>
    <w:p>
      <w:pPr>
        <w:pStyle w:val="TextBody"/>
        <w:numPr>
          <w:ilvl w:val="0"/>
          <w:numId w:val="127"/>
        </w:numPr>
        <w:tabs>
          <w:tab w:val="left" w:pos="0" w:leader="none"/>
        </w:tabs>
        <w:spacing w:before="0" w:after="0"/>
        <w:ind w:left="707" w:hanging="283"/>
        <w:rPr/>
      </w:pPr>
      <w:r>
        <w:rPr/>
        <w:t xml:space="preserve">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 </w:t>
      </w:r>
    </w:p>
    <w:p>
      <w:pPr>
        <w:pStyle w:val="TextBody"/>
        <w:numPr>
          <w:ilvl w:val="0"/>
          <w:numId w:val="127"/>
        </w:numPr>
        <w:tabs>
          <w:tab w:val="left" w:pos="0" w:leader="none"/>
        </w:tabs>
        <w:spacing w:before="0" w:after="0"/>
        <w:ind w:left="707" w:hanging="283"/>
        <w:rPr/>
      </w:pPr>
      <w:r>
        <w:rPr/>
        <w:t xml:space="preserve">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 </w:t>
      </w:r>
    </w:p>
    <w:p>
      <w:pPr>
        <w:pStyle w:val="TextBody"/>
        <w:numPr>
          <w:ilvl w:val="0"/>
          <w:numId w:val="127"/>
        </w:numPr>
        <w:tabs>
          <w:tab w:val="left" w:pos="0" w:leader="none"/>
        </w:tabs>
        <w:spacing w:before="0" w:after="0"/>
        <w:ind w:left="707" w:hanging="283"/>
        <w:rPr/>
      </w:pPr>
      <w:r>
        <w:rPr/>
        <w:t xml:space="preserve">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 </w:t>
      </w:r>
    </w:p>
    <w:p>
      <w:pPr>
        <w:pStyle w:val="TextBody"/>
        <w:numPr>
          <w:ilvl w:val="0"/>
          <w:numId w:val="127"/>
        </w:numPr>
        <w:tabs>
          <w:tab w:val="left" w:pos="0" w:leader="none"/>
        </w:tabs>
        <w:ind w:left="707" w:hanging="283"/>
        <w:rPr/>
      </w:pPr>
      <w:r>
        <w:rPr/>
        <w:t xml:space="preserve">Лица, участвующие в деле, обязаны пользоваться добросовестно своими правами при рассмотрении дела. </w:t>
      </w:r>
    </w:p>
    <w:p>
      <w:pPr>
        <w:pStyle w:val="TextBody"/>
        <w:rPr/>
      </w:pPr>
      <w:r>
        <w:rPr>
          <w:rStyle w:val="StrongEmphasis"/>
        </w:rPr>
        <w:t>Статья 44. Рассмотрение заявления, материалов и возбуждение дела о нарушении антимонопольного законодательства</w:t>
      </w:r>
    </w:p>
    <w:p>
      <w:pPr>
        <w:pStyle w:val="TextBody"/>
        <w:numPr>
          <w:ilvl w:val="0"/>
          <w:numId w:val="128"/>
        </w:numPr>
        <w:tabs>
          <w:tab w:val="left" w:pos="0" w:leader="none"/>
        </w:tabs>
        <w:ind w:left="707" w:hanging="283"/>
        <w:rPr/>
      </w:pPr>
      <w:r>
        <w:rPr/>
        <w:t xml:space="preserve">Заявление подается в письменной форме в антимонопольный орган и должно содержать следующие сведения: </w:t>
      </w:r>
    </w:p>
    <w:p>
      <w:pPr>
        <w:pStyle w:val="TextBody"/>
        <w:rPr/>
      </w:pPr>
      <w:r>
        <w:rP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pPr>
        <w:pStyle w:val="TextBody"/>
        <w:rPr/>
      </w:pPr>
      <w:r>
        <w:rPr/>
        <w:t>2) имеющиеся у заявителя сведения о лице, в отношении которого подано заявление;</w:t>
      </w:r>
    </w:p>
    <w:p>
      <w:pPr>
        <w:pStyle w:val="TextBody"/>
        <w:rPr/>
      </w:pPr>
      <w:r>
        <w:rPr/>
        <w:t>3) описание нарушения антимонопольного законодательства;</w:t>
      </w:r>
    </w:p>
    <w:p>
      <w:pPr>
        <w:pStyle w:val="TextBody"/>
        <w:rPr/>
      </w:pPr>
      <w:r>
        <w:rPr/>
        <w:t>4) существо требований, с которыми заявитель обращается;</w:t>
      </w:r>
    </w:p>
    <w:p>
      <w:pPr>
        <w:pStyle w:val="TextBody"/>
        <w:rPr/>
      </w:pPr>
      <w:r>
        <w:rPr/>
        <w:t>5) перечень прилагаемых документов.</w:t>
      </w:r>
    </w:p>
    <w:p>
      <w:pPr>
        <w:pStyle w:val="TextBody"/>
        <w:numPr>
          <w:ilvl w:val="0"/>
          <w:numId w:val="129"/>
        </w:numPr>
        <w:tabs>
          <w:tab w:val="left" w:pos="0" w:leader="none"/>
        </w:tabs>
        <w:spacing w:before="0" w:after="0"/>
        <w:ind w:left="707" w:hanging="283"/>
        <w:rPr/>
      </w:pPr>
      <w:r>
        <w:rPr/>
        <w:t xml:space="preserve">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t>
      </w:r>
    </w:p>
    <w:p>
      <w:pPr>
        <w:pStyle w:val="TextBody"/>
        <w:numPr>
          <w:ilvl w:val="0"/>
          <w:numId w:val="129"/>
        </w:numPr>
        <w:tabs>
          <w:tab w:val="left" w:pos="0" w:leader="none"/>
        </w:tabs>
        <w:spacing w:before="0" w:after="0"/>
        <w:ind w:left="707" w:hanging="283"/>
        <w:rPr/>
      </w:pPr>
      <w:r>
        <w:rPr/>
        <w:t xml:space="preserve">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 </w:t>
      </w:r>
    </w:p>
    <w:p>
      <w:pPr>
        <w:pStyle w:val="TextBody"/>
        <w:numPr>
          <w:ilvl w:val="0"/>
          <w:numId w:val="129"/>
        </w:numPr>
        <w:tabs>
          <w:tab w:val="left" w:pos="0" w:leader="none"/>
        </w:tabs>
        <w:spacing w:before="0" w:after="0"/>
        <w:ind w:left="707" w:hanging="283"/>
        <w:rPr/>
      </w:pPr>
      <w:r>
        <w:rPr/>
        <w:t xml:space="preserve">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 </w:t>
      </w:r>
    </w:p>
    <w:p>
      <w:pPr>
        <w:pStyle w:val="TextBody"/>
        <w:numPr>
          <w:ilvl w:val="0"/>
          <w:numId w:val="129"/>
        </w:numPr>
        <w:tabs>
          <w:tab w:val="left" w:pos="0" w:leader="none"/>
        </w:tabs>
        <w:ind w:left="707" w:hanging="283"/>
        <w:rPr/>
      </w:pPr>
      <w:r>
        <w:rPr/>
        <w:t xml:space="preserve">При рассмотрении заявления или материалов антимонопольный орган: </w:t>
      </w:r>
    </w:p>
    <w:p>
      <w:pPr>
        <w:pStyle w:val="TextBody"/>
        <w:rPr/>
      </w:pPr>
      <w:r>
        <w:rPr/>
        <w:t>1) определяет, относится ли рассмотрение заявления или материалов к его компетенции;</w:t>
      </w:r>
    </w:p>
    <w:p>
      <w:pPr>
        <w:pStyle w:val="TextBody"/>
        <w:rPr/>
      </w:pPr>
      <w:r>
        <w:rPr/>
        <w:t>2) устанавливает наличие признаков нарушения антимонопольного законодательства и определяет нормы, которые подлежат применению.</w:t>
      </w:r>
    </w:p>
    <w:p>
      <w:pPr>
        <w:pStyle w:val="TextBody"/>
        <w:numPr>
          <w:ilvl w:val="0"/>
          <w:numId w:val="130"/>
        </w:numPr>
        <w:tabs>
          <w:tab w:val="left" w:pos="0" w:leader="none"/>
        </w:tabs>
        <w:spacing w:before="0" w:after="0"/>
        <w:ind w:left="707" w:hanging="283"/>
        <w:rPr/>
      </w:pPr>
      <w:r>
        <w:rPr/>
        <w:t xml:space="preserve">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 </w:t>
      </w:r>
    </w:p>
    <w:p>
      <w:pPr>
        <w:pStyle w:val="TextBody"/>
        <w:numPr>
          <w:ilvl w:val="0"/>
          <w:numId w:val="130"/>
        </w:numPr>
        <w:tabs>
          <w:tab w:val="left" w:pos="0" w:leader="none"/>
        </w:tabs>
        <w:spacing w:before="0" w:after="0"/>
        <w:ind w:left="707" w:hanging="283"/>
        <w:rPr/>
      </w:pPr>
      <w:r>
        <w:rPr/>
        <w:t xml:space="preserve">При рассмотрении заявления, материалов, указывающих на наличие признаков нарушения статьи 10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частью 9 настоящей статьи. </w:t>
      </w:r>
    </w:p>
    <w:p>
      <w:pPr>
        <w:pStyle w:val="TextBody"/>
        <w:numPr>
          <w:ilvl w:val="0"/>
          <w:numId w:val="130"/>
        </w:numPr>
        <w:tabs>
          <w:tab w:val="left" w:pos="0" w:leader="none"/>
        </w:tabs>
        <w:ind w:left="707" w:hanging="283"/>
        <w:rPr/>
      </w:pPr>
      <w:r>
        <w:rPr/>
        <w:t xml:space="preserve">По результатам рассмотрения заявления, материалов антимонопольный орган принимает одно из следующих решений: </w:t>
      </w:r>
    </w:p>
    <w:p>
      <w:pPr>
        <w:pStyle w:val="TextBody"/>
        <w:rPr/>
      </w:pPr>
      <w:r>
        <w:rPr/>
        <w:t>1) о возбуждении дела о нарушении антимонопольного законодательства;</w:t>
      </w:r>
    </w:p>
    <w:p>
      <w:pPr>
        <w:pStyle w:val="TextBody"/>
        <w:rPr/>
      </w:pPr>
      <w:r>
        <w:rPr/>
        <w:t>2) об отказе в возбуждении дела о нарушении антимонопольного законодательства;</w:t>
      </w:r>
    </w:p>
    <w:p>
      <w:pPr>
        <w:pStyle w:val="TextBody"/>
        <w:rPr/>
      </w:pPr>
      <w:r>
        <w:rPr/>
        <w:t>3) о выдаче предупреждения в соответствии со статьей 39.1 настоящего Федерального закона.</w:t>
      </w:r>
    </w:p>
    <w:p>
      <w:pPr>
        <w:pStyle w:val="TextBody"/>
        <w:rPr/>
      </w:pPr>
      <w:r>
        <w:rPr/>
        <w:t>(п. 3 введен Федеральным законом от 05.10.2015 N 275-ФЗ)</w:t>
      </w:r>
    </w:p>
    <w:p>
      <w:pPr>
        <w:pStyle w:val="TextBody"/>
        <w:numPr>
          <w:ilvl w:val="0"/>
          <w:numId w:val="131"/>
        </w:numPr>
        <w:tabs>
          <w:tab w:val="left" w:pos="0" w:leader="none"/>
        </w:tabs>
        <w:ind w:left="707" w:hanging="283"/>
        <w:rPr/>
      </w:pPr>
      <w:r>
        <w:rPr/>
        <w:t xml:space="preserve">Антимонопольный орган принимает решение об отказе в возбуждении дела в следующих случаях: </w:t>
      </w:r>
    </w:p>
    <w:p>
      <w:pPr>
        <w:pStyle w:val="TextBody"/>
        <w:rPr/>
      </w:pPr>
      <w:r>
        <w:rPr/>
        <w:t>1) вопросы, указанные в заявлении, материалах, не относятся к компетенции антимонопольного органа;</w:t>
      </w:r>
    </w:p>
    <w:p>
      <w:pPr>
        <w:pStyle w:val="TextBody"/>
        <w:rPr/>
      </w:pPr>
      <w:r>
        <w:rPr/>
        <w:t>2) признаки нарушения антимонопольного законодательства отсутствуют;</w:t>
      </w:r>
    </w:p>
    <w:p>
      <w:pPr>
        <w:pStyle w:val="TextBody"/>
        <w:rPr/>
      </w:pPr>
      <w:r>
        <w:rPr/>
        <w:t>3) по факту, явившемуся основанием для обращения с заявлением, материалами, дело возбуждено ранее;</w:t>
      </w:r>
    </w:p>
    <w:p>
      <w:pPr>
        <w:pStyle w:val="TextBody"/>
        <w:rPr/>
      </w:pPr>
      <w:r>
        <w:rPr/>
        <w:t>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пунктом 2 настоящей части или решение о прекращении рассмотрения дела в соответствии с пунктом 2 части 1 статьи 48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pPr>
        <w:pStyle w:val="TextBody"/>
        <w:rPr/>
      </w:pPr>
      <w:r>
        <w:rPr/>
        <w:t>5) по факту, явившемуся основанием для обращения с заявлением, материалами, истекли сроки давности, предусмотренные статьей 41.1 настоящего Федерального закона;</w:t>
      </w:r>
    </w:p>
    <w:p>
      <w:pPr>
        <w:pStyle w:val="TextBody"/>
        <w:rPr/>
      </w:pPr>
      <w:r>
        <w:rP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pPr>
        <w:pStyle w:val="TextBody"/>
        <w:rPr/>
      </w:pPr>
      <w:r>
        <w:rPr/>
        <w:t>7) устранены признаки нарушения антимонопольного законодательства в результате выполнения предупреждения, выданного в порядке, установленном статьей 39.1 настоящего Федерального закона.</w:t>
      </w:r>
    </w:p>
    <w:p>
      <w:pPr>
        <w:pStyle w:val="TextBody"/>
        <w:numPr>
          <w:ilvl w:val="0"/>
          <w:numId w:val="132"/>
        </w:numPr>
        <w:tabs>
          <w:tab w:val="left" w:pos="0" w:leader="none"/>
        </w:tabs>
        <w:spacing w:before="0" w:after="0"/>
        <w:ind w:left="707" w:hanging="283"/>
        <w:rPr/>
      </w:pPr>
      <w:r>
        <w:rPr/>
        <w:t xml:space="preserve">Решение об отказе в возбуждении дела о нарушении антимонопольного законодательства антимонопольный орган направляет заявителю в срок, установленный частью 3 настоящей статьи, с указанием мотивов принятия этого решения. </w:t>
      </w:r>
    </w:p>
    <w:p>
      <w:pPr>
        <w:pStyle w:val="TextBody"/>
        <w:numPr>
          <w:ilvl w:val="0"/>
          <w:numId w:val="132"/>
        </w:numPr>
        <w:tabs>
          <w:tab w:val="left" w:pos="0" w:leader="none"/>
        </w:tabs>
        <w:spacing w:before="0" w:after="0"/>
        <w:ind w:left="707" w:hanging="283"/>
        <w:rPr/>
      </w:pPr>
      <w:r>
        <w:rPr/>
        <w:t xml:space="preserve">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 </w:t>
      </w:r>
    </w:p>
    <w:p>
      <w:pPr>
        <w:pStyle w:val="TextBody"/>
        <w:numPr>
          <w:ilvl w:val="0"/>
          <w:numId w:val="132"/>
        </w:numPr>
        <w:tabs>
          <w:tab w:val="left" w:pos="0" w:leader="none"/>
        </w:tabs>
        <w:spacing w:before="0" w:after="0"/>
        <w:ind w:left="707" w:hanging="283"/>
        <w:rPr/>
      </w:pPr>
      <w:r>
        <w:rPr/>
        <w:t xml:space="preserve">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 </w:t>
      </w:r>
    </w:p>
    <w:p>
      <w:pPr>
        <w:pStyle w:val="TextBody"/>
        <w:numPr>
          <w:ilvl w:val="0"/>
          <w:numId w:val="132"/>
        </w:numPr>
        <w:tabs>
          <w:tab w:val="left" w:pos="0" w:leader="none"/>
        </w:tabs>
        <w:spacing w:before="0" w:after="0"/>
        <w:ind w:left="707" w:hanging="283"/>
        <w:rPr/>
      </w:pPr>
      <w:r>
        <w:rPr/>
        <w:t xml:space="preserve">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 </w:t>
      </w:r>
    </w:p>
    <w:p>
      <w:pPr>
        <w:pStyle w:val="TextBody"/>
        <w:numPr>
          <w:ilvl w:val="0"/>
          <w:numId w:val="132"/>
        </w:numPr>
        <w:tabs>
          <w:tab w:val="left" w:pos="0" w:leader="none"/>
        </w:tabs>
        <w:ind w:left="707" w:hanging="283"/>
        <w:rPr/>
      </w:pPr>
      <w:r>
        <w:rPr/>
        <w:t xml:space="preserve">Определение о назначении дела о нарушении антимонопольного законодательства к рассмотрению должно содержать: </w:t>
      </w:r>
    </w:p>
    <w:p>
      <w:pPr>
        <w:pStyle w:val="TextBody"/>
        <w:rPr/>
      </w:pPr>
      <w:r>
        <w:rPr/>
        <w:t>1) сведения о лицах, участвующих в рассмотрении дела;</w:t>
      </w:r>
    </w:p>
    <w:p>
      <w:pPr>
        <w:pStyle w:val="TextBody"/>
        <w:rPr/>
      </w:pPr>
      <w:r>
        <w:rPr/>
        <w:t>2) основания, послужившие поводом к возбуждению дела;</w:t>
      </w:r>
    </w:p>
    <w:p>
      <w:pPr>
        <w:pStyle w:val="TextBody"/>
        <w:rPr/>
      </w:pPr>
      <w:r>
        <w:rP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pPr>
        <w:pStyle w:val="TextBody"/>
        <w:rPr/>
      </w:pPr>
      <w:r>
        <w:rPr/>
        <w:t>4) сведения о дате, времени и месте проведения заседания комиссии.</w:t>
      </w:r>
    </w:p>
    <w:p>
      <w:pPr>
        <w:pStyle w:val="TextBody"/>
        <w:numPr>
          <w:ilvl w:val="0"/>
          <w:numId w:val="133"/>
        </w:numPr>
        <w:tabs>
          <w:tab w:val="left" w:pos="0" w:leader="none"/>
        </w:tabs>
        <w:ind w:left="707" w:hanging="283"/>
        <w:rPr/>
      </w:pPr>
      <w:r>
        <w:rPr/>
        <w:t xml:space="preserve">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 </w:t>
      </w:r>
    </w:p>
    <w:p>
      <w:pPr>
        <w:pStyle w:val="TextBody"/>
        <w:rPr/>
      </w:pPr>
      <w:r>
        <w:rPr>
          <w:rStyle w:val="StrongEmphasis"/>
        </w:rPr>
        <w:t>Статья 45. Рассмотрение дела о нарушении антимонопольного законодательства</w:t>
      </w:r>
    </w:p>
    <w:p>
      <w:pPr>
        <w:pStyle w:val="TextBody"/>
        <w:numPr>
          <w:ilvl w:val="0"/>
          <w:numId w:val="134"/>
        </w:numPr>
        <w:tabs>
          <w:tab w:val="left" w:pos="0" w:leader="none"/>
        </w:tabs>
        <w:spacing w:before="0" w:after="0"/>
        <w:ind w:left="707" w:hanging="283"/>
        <w:rPr/>
      </w:pPr>
      <w:r>
        <w:rPr/>
        <w:t xml:space="preserve">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определение и направляет копии этого определения лицам, участвующим в деле. </w:t>
      </w:r>
    </w:p>
    <w:p>
      <w:pPr>
        <w:pStyle w:val="TextBody"/>
        <w:numPr>
          <w:ilvl w:val="0"/>
          <w:numId w:val="134"/>
        </w:numPr>
        <w:tabs>
          <w:tab w:val="left" w:pos="0" w:leader="none"/>
        </w:tabs>
        <w:ind w:left="707" w:hanging="283"/>
        <w:rPr/>
      </w:pPr>
      <w:r>
        <w:rPr/>
        <w:t xml:space="preserve">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 </w:t>
      </w:r>
    </w:p>
    <w:p>
      <w:pPr>
        <w:pStyle w:val="TextBody"/>
        <w:rPr/>
      </w:pPr>
      <w:r>
        <w:rPr/>
        <w:t>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pPr>
        <w:pStyle w:val="TextBody"/>
        <w:numPr>
          <w:ilvl w:val="0"/>
          <w:numId w:val="135"/>
        </w:numPr>
        <w:tabs>
          <w:tab w:val="left" w:pos="0" w:leader="none"/>
        </w:tabs>
        <w:ind w:left="707" w:hanging="283"/>
        <w:rPr/>
      </w:pPr>
      <w:r>
        <w:rPr/>
        <w:t xml:space="preserve">Председатель комиссии: </w:t>
      </w:r>
    </w:p>
    <w:p>
      <w:pPr>
        <w:pStyle w:val="TextBody"/>
        <w:rPr/>
      </w:pPr>
      <w:r>
        <w:rPr/>
        <w:t>1) открывает заседание комиссии;</w:t>
      </w:r>
    </w:p>
    <w:p>
      <w:pPr>
        <w:pStyle w:val="TextBody"/>
        <w:rPr/>
      </w:pPr>
      <w:r>
        <w:rPr/>
        <w:t>2) объявляет состав комиссии;</w:t>
      </w:r>
    </w:p>
    <w:p>
      <w:pPr>
        <w:pStyle w:val="TextBody"/>
        <w:rPr/>
      </w:pPr>
      <w:r>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pPr>
        <w:pStyle w:val="TextBody"/>
        <w:rPr/>
      </w:pPr>
      <w:r>
        <w:rPr/>
        <w:t>4) выясняет вопрос о возможности рассмотрения дела;</w:t>
      </w:r>
    </w:p>
    <w:p>
      <w:pPr>
        <w:pStyle w:val="TextBody"/>
        <w:rPr/>
      </w:pPr>
      <w:r>
        <w:rPr/>
        <w:t>5) разъясняет лицам, участвующим в деле, их права, определяет последовательность совершения действий при рассмотрении дела;</w:t>
      </w:r>
    </w:p>
    <w:p>
      <w:pPr>
        <w:pStyle w:val="TextBody"/>
        <w:rPr/>
      </w:pPr>
      <w:r>
        <w:rP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pPr>
        <w:pStyle w:val="TextBody"/>
        <w:rPr/>
      </w:pPr>
      <w:r>
        <w:rPr/>
        <w:t>7) принимает меры по обеспечению на заседании комиссии надлежащего порядка;</w:t>
      </w:r>
    </w:p>
    <w:p>
      <w:pPr>
        <w:pStyle w:val="TextBody"/>
        <w:rPr/>
      </w:pPr>
      <w:r>
        <w:rPr/>
        <w:t>8) оглашает заключение об обстоятельствах дела.</w:t>
      </w:r>
    </w:p>
    <w:p>
      <w:pPr>
        <w:pStyle w:val="TextBody"/>
        <w:rPr/>
      </w:pPr>
      <w:r>
        <w:rPr/>
        <w:t>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pPr>
        <w:pStyle w:val="TextBody"/>
        <w:rPr/>
      </w:pPr>
      <w:r>
        <w:rP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pPr>
        <w:pStyle w:val="TextBody"/>
        <w:rPr/>
      </w:pPr>
      <w:r>
        <w:rPr/>
        <w:t>(часть 3.2 введена Федеральным законом от 05.10.2015 N 275-ФЗ)</w:t>
      </w:r>
    </w:p>
    <w:p>
      <w:pPr>
        <w:pStyle w:val="TextBody"/>
        <w:rPr/>
      </w:pPr>
      <w:r>
        <w:rP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pPr>
        <w:pStyle w:val="TextBody"/>
        <w:rPr/>
      </w:pPr>
      <w:r>
        <w:rPr/>
        <w:t>(часть 3.3 введена Федеральным законом от 05.10.2015 N 275-ФЗ)</w:t>
      </w:r>
    </w:p>
    <w:p>
      <w:pPr>
        <w:pStyle w:val="TextBody"/>
        <w:rPr/>
      </w:pPr>
      <w:r>
        <w:rP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pPr>
        <w:pStyle w:val="TextBody"/>
        <w:rPr/>
      </w:pPr>
      <w:r>
        <w:rPr/>
        <w:t>(часть 3.4 введена Федеральным законом от 05.10.2015 N 275-ФЗ)</w:t>
      </w:r>
    </w:p>
    <w:p>
      <w:pPr>
        <w:pStyle w:val="TextBody"/>
        <w:numPr>
          <w:ilvl w:val="0"/>
          <w:numId w:val="136"/>
        </w:numPr>
        <w:tabs>
          <w:tab w:val="left" w:pos="0" w:leader="none"/>
        </w:tabs>
        <w:ind w:left="707" w:hanging="283"/>
        <w:rPr/>
      </w:pPr>
      <w:r>
        <w:rPr/>
        <w:t xml:space="preserve">На заседании комиссии: </w:t>
      </w:r>
    </w:p>
    <w:p>
      <w:pPr>
        <w:pStyle w:val="TextBody"/>
        <w:rPr/>
      </w:pPr>
      <w:r>
        <w:rPr/>
        <w:t>1) заслушиваются лица, участвующие в деле;</w:t>
      </w:r>
    </w:p>
    <w:p>
      <w:pPr>
        <w:pStyle w:val="TextBody"/>
        <w:rPr/>
      </w:pPr>
      <w:r>
        <w:rPr/>
        <w:t>2) заслушиваются и обсуждаются ходатайства, принимаются по ним решения, которые должны быть отражены в протоколе заседания;</w:t>
      </w:r>
    </w:p>
    <w:p>
      <w:pPr>
        <w:pStyle w:val="TextBody"/>
        <w:rPr/>
      </w:pPr>
      <w:r>
        <w:rPr/>
        <w:t>3) исследуются доказательства;</w:t>
      </w:r>
    </w:p>
    <w:p>
      <w:pPr>
        <w:pStyle w:val="TextBody"/>
        <w:rPr/>
      </w:pPr>
      <w:r>
        <w:rPr/>
        <w:t>4) заслушиваются мнения и пояснения лиц, участвующих в деле, относительно доказательств, представленных лицами, участвующими в деле;</w:t>
      </w:r>
    </w:p>
    <w:p>
      <w:pPr>
        <w:pStyle w:val="TextBody"/>
        <w:rPr/>
      </w:pPr>
      <w:r>
        <w:rPr/>
        <w:t>5) заслушиваются и обсуждаются мнения экспертов, привлеченных для дачи заключений;</w:t>
      </w:r>
    </w:p>
    <w:p>
      <w:pPr>
        <w:pStyle w:val="TextBody"/>
        <w:rPr/>
      </w:pPr>
      <w:r>
        <w:rPr/>
        <w:t>6) заслушиваются лица, располагающие сведениями об обстоятельствах рассматриваемого дела;</w:t>
      </w:r>
    </w:p>
    <w:p>
      <w:pPr>
        <w:pStyle w:val="TextBody"/>
        <w:rPr/>
      </w:pPr>
      <w:r>
        <w:rP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pPr>
        <w:pStyle w:val="TextBody"/>
        <w:numPr>
          <w:ilvl w:val="0"/>
          <w:numId w:val="137"/>
        </w:numPr>
        <w:tabs>
          <w:tab w:val="left" w:pos="0" w:leader="none"/>
        </w:tabs>
        <w:ind w:left="707" w:hanging="283"/>
        <w:rPr/>
      </w:pPr>
      <w:r>
        <w:rPr/>
        <w:t xml:space="preserve">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 </w:t>
      </w:r>
    </w:p>
    <w:p>
      <w:pPr>
        <w:pStyle w:val="TextBody"/>
        <w:rPr/>
      </w:pPr>
      <w:r>
        <w:rP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pPr>
        <w:pStyle w:val="TextBody"/>
        <w:rPr/>
      </w:pPr>
      <w:r>
        <w:rPr/>
        <w:t>(часть 5.1 введена Федеральным законом от 05.10.2015 N 275-ФЗ)</w:t>
      </w:r>
    </w:p>
    <w:p>
      <w:pPr>
        <w:pStyle w:val="TextBody"/>
        <w:numPr>
          <w:ilvl w:val="0"/>
          <w:numId w:val="138"/>
        </w:numPr>
        <w:tabs>
          <w:tab w:val="left" w:pos="0" w:leader="none"/>
        </w:tabs>
        <w:ind w:left="707" w:hanging="283"/>
        <w:rPr/>
      </w:pPr>
      <w:r>
        <w:rPr/>
        <w:t xml:space="preserve">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 </w:t>
      </w:r>
    </w:p>
    <w:p>
      <w:pPr>
        <w:pStyle w:val="TextBody"/>
        <w:rPr/>
      </w:pPr>
      <w:r>
        <w:rPr>
          <w:rStyle w:val="StrongEmphasis"/>
        </w:rPr>
        <w:t>Статья 45.1. Доказательства и доказывание по делу о нарушении антимонопольного законодательства</w:t>
      </w:r>
    </w:p>
    <w:p>
      <w:pPr>
        <w:pStyle w:val="TextBody"/>
        <w:numPr>
          <w:ilvl w:val="0"/>
          <w:numId w:val="139"/>
        </w:numPr>
        <w:tabs>
          <w:tab w:val="left" w:pos="0" w:leader="none"/>
        </w:tabs>
        <w:spacing w:before="0" w:after="0"/>
        <w:ind w:left="707" w:hanging="283"/>
        <w:rPr/>
      </w:pPr>
      <w:r>
        <w:rPr/>
        <w:t xml:space="preserve">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 </w:t>
      </w:r>
    </w:p>
    <w:p>
      <w:pPr>
        <w:pStyle w:val="TextBody"/>
        <w:numPr>
          <w:ilvl w:val="0"/>
          <w:numId w:val="139"/>
        </w:numPr>
        <w:tabs>
          <w:tab w:val="left" w:pos="0" w:leader="none"/>
        </w:tabs>
        <w:spacing w:before="0" w:after="0"/>
        <w:ind w:left="707" w:hanging="283"/>
        <w:rPr/>
      </w:pPr>
      <w:r>
        <w:rPr/>
        <w:t xml:space="preserve">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 </w:t>
      </w:r>
    </w:p>
    <w:p>
      <w:pPr>
        <w:pStyle w:val="TextBody"/>
        <w:numPr>
          <w:ilvl w:val="0"/>
          <w:numId w:val="139"/>
        </w:numPr>
        <w:tabs>
          <w:tab w:val="left" w:pos="0" w:leader="none"/>
        </w:tabs>
        <w:spacing w:before="0" w:after="0"/>
        <w:ind w:left="707" w:hanging="283"/>
        <w:rPr/>
      </w:pPr>
      <w:r>
        <w:rPr/>
        <w:t xml:space="preserve">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 </w:t>
      </w:r>
    </w:p>
    <w:p>
      <w:pPr>
        <w:pStyle w:val="TextBody"/>
        <w:numPr>
          <w:ilvl w:val="0"/>
          <w:numId w:val="139"/>
        </w:numPr>
        <w:tabs>
          <w:tab w:val="left" w:pos="0" w:leader="none"/>
        </w:tabs>
        <w:spacing w:before="0" w:after="0"/>
        <w:ind w:left="707" w:hanging="283"/>
        <w:rPr/>
      </w:pPr>
      <w:r>
        <w:rPr/>
        <w:t xml:space="preserve">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 </w:t>
      </w:r>
    </w:p>
    <w:p>
      <w:pPr>
        <w:pStyle w:val="TextBody"/>
        <w:numPr>
          <w:ilvl w:val="0"/>
          <w:numId w:val="139"/>
        </w:numPr>
        <w:tabs>
          <w:tab w:val="left" w:pos="0" w:leader="none"/>
        </w:tabs>
        <w:ind w:left="707" w:hanging="283"/>
        <w:rPr/>
      </w:pPr>
      <w:r>
        <w:rPr/>
        <w:t xml:space="preserve">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 </w:t>
      </w:r>
    </w:p>
    <w:p>
      <w:pPr>
        <w:pStyle w:val="TextBody"/>
        <w:rPr/>
      </w:pPr>
      <w:r>
        <w:rPr>
          <w:rStyle w:val="StrongEmphasis"/>
        </w:rP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pPr>
        <w:pStyle w:val="TextBody"/>
        <w:numPr>
          <w:ilvl w:val="0"/>
          <w:numId w:val="140"/>
        </w:numPr>
        <w:tabs>
          <w:tab w:val="left" w:pos="0" w:leader="none"/>
        </w:tabs>
        <w:spacing w:before="0" w:after="0"/>
        <w:ind w:left="707" w:hanging="283"/>
        <w:rPr/>
      </w:pPr>
      <w:r>
        <w:rPr/>
        <w:t xml:space="preserve">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частями 1 и 3 статьи 14.32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статьей 178 Уголовного кодекса Российской Федерации. </w:t>
      </w:r>
    </w:p>
    <w:p>
      <w:pPr>
        <w:pStyle w:val="TextBody"/>
        <w:numPr>
          <w:ilvl w:val="0"/>
          <w:numId w:val="140"/>
        </w:numPr>
        <w:tabs>
          <w:tab w:val="left" w:pos="0" w:leader="none"/>
        </w:tabs>
        <w:spacing w:before="0" w:after="0"/>
        <w:ind w:left="707" w:hanging="283"/>
        <w:rPr/>
      </w:pPr>
      <w:r>
        <w:rPr/>
        <w:t xml:space="preserve">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 </w:t>
      </w:r>
    </w:p>
    <w:p>
      <w:pPr>
        <w:pStyle w:val="TextBody"/>
        <w:numPr>
          <w:ilvl w:val="0"/>
          <w:numId w:val="140"/>
        </w:numPr>
        <w:tabs>
          <w:tab w:val="left" w:pos="0" w:leader="none"/>
        </w:tabs>
        <w:spacing w:before="0" w:after="0"/>
        <w:ind w:left="707" w:hanging="283"/>
        <w:rPr/>
      </w:pPr>
      <w:r>
        <w:rPr/>
        <w:t xml:space="preserve">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 </w:t>
      </w:r>
    </w:p>
    <w:p>
      <w:pPr>
        <w:pStyle w:val="TextBody"/>
        <w:numPr>
          <w:ilvl w:val="0"/>
          <w:numId w:val="140"/>
        </w:numPr>
        <w:tabs>
          <w:tab w:val="left" w:pos="0" w:leader="none"/>
        </w:tabs>
        <w:spacing w:before="0" w:after="0"/>
        <w:ind w:left="707" w:hanging="283"/>
        <w:rPr/>
      </w:pPr>
      <w:r>
        <w:rPr/>
        <w:t xml:space="preserve">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 </w:t>
      </w:r>
    </w:p>
    <w:p>
      <w:pPr>
        <w:pStyle w:val="TextBody"/>
        <w:numPr>
          <w:ilvl w:val="0"/>
          <w:numId w:val="140"/>
        </w:numPr>
        <w:tabs>
          <w:tab w:val="left" w:pos="0" w:leader="none"/>
        </w:tabs>
        <w:ind w:left="707" w:hanging="283"/>
        <w:rPr/>
      </w:pPr>
      <w:r>
        <w:rPr/>
        <w:t xml:space="preserve">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 </w:t>
      </w:r>
    </w:p>
    <w:p>
      <w:pPr>
        <w:pStyle w:val="TextBody"/>
        <w:rPr/>
      </w:pPr>
      <w:r>
        <w:rPr>
          <w:rStyle w:val="StrongEmphasis"/>
        </w:rPr>
        <w:t>Статья 46. Перерыв в заседании комиссии</w:t>
      </w:r>
    </w:p>
    <w:p>
      <w:pPr>
        <w:pStyle w:val="TextBody"/>
        <w:numPr>
          <w:ilvl w:val="0"/>
          <w:numId w:val="141"/>
        </w:numPr>
        <w:tabs>
          <w:tab w:val="left" w:pos="0" w:leader="none"/>
        </w:tabs>
        <w:spacing w:before="0" w:after="0"/>
        <w:ind w:left="707" w:hanging="283"/>
        <w:rPr/>
      </w:pPr>
      <w:r>
        <w:rPr/>
        <w:t xml:space="preserve">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 </w:t>
      </w:r>
    </w:p>
    <w:p>
      <w:pPr>
        <w:pStyle w:val="TextBody"/>
        <w:numPr>
          <w:ilvl w:val="0"/>
          <w:numId w:val="141"/>
        </w:numPr>
        <w:tabs>
          <w:tab w:val="left" w:pos="0" w:leader="none"/>
        </w:tabs>
        <w:ind w:left="707" w:hanging="283"/>
        <w:rPr/>
      </w:pPr>
      <w:r>
        <w:rPr/>
        <w:t xml:space="preserve">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 </w:t>
      </w:r>
    </w:p>
    <w:p>
      <w:pPr>
        <w:pStyle w:val="TextBody"/>
        <w:rPr/>
      </w:pPr>
      <w:r>
        <w:rPr>
          <w:rStyle w:val="StrongEmphasis"/>
        </w:rPr>
        <w:t>Статья 47. Отложение и приостановление рассмотрения дела о нарушении антимонопольного законодательства</w:t>
      </w:r>
    </w:p>
    <w:p>
      <w:pPr>
        <w:pStyle w:val="TextBody"/>
        <w:numPr>
          <w:ilvl w:val="0"/>
          <w:numId w:val="142"/>
        </w:numPr>
        <w:tabs>
          <w:tab w:val="left" w:pos="0" w:leader="none"/>
        </w:tabs>
        <w:ind w:left="707" w:hanging="283"/>
        <w:rPr/>
      </w:pPr>
      <w:r>
        <w:rPr/>
        <w:t xml:space="preserve">Комиссия вправе отложить рассмотрение дела о нарушении антимонопольного законодательства: </w:t>
      </w:r>
    </w:p>
    <w:p>
      <w:pPr>
        <w:pStyle w:val="TextBody"/>
        <w:rPr/>
      </w:pPr>
      <w:r>
        <w:rP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pPr>
        <w:pStyle w:val="TextBody"/>
        <w:rPr/>
      </w:pPr>
      <w:r>
        <w:rPr/>
        <w:t>2) в связи с необходимостью получения дополнительных доказательств;</w:t>
      </w:r>
    </w:p>
    <w:p>
      <w:pPr>
        <w:pStyle w:val="TextBody"/>
        <w:rPr/>
      </w:pPr>
      <w:r>
        <w:rPr/>
        <w:t>3) для привлечения к участию в деле лиц, содействующих рассмотрению дела, других лиц, участие которых в деле, по мнению комиссии, необходимо;</w:t>
      </w:r>
    </w:p>
    <w:p>
      <w:pPr>
        <w:pStyle w:val="TextBody"/>
        <w:rPr/>
      </w:pPr>
      <w:r>
        <w:rPr/>
        <w:t>4) утратил силу.</w:t>
      </w:r>
    </w:p>
    <w:p>
      <w:pPr>
        <w:pStyle w:val="TextBody"/>
        <w:rPr/>
      </w:pPr>
      <w:r>
        <w:rPr/>
        <w:t>5) в иных предусмотренных настоящей главой случаях.</w:t>
      </w:r>
    </w:p>
    <w:p>
      <w:pPr>
        <w:pStyle w:val="TextBody"/>
        <w:rPr/>
      </w:pPr>
      <w:r>
        <w:rPr/>
        <w:t>1.1. Комиссия обязана отложить рассмотрение дела о нарушении антимонопольного законодательства в случае:</w:t>
      </w:r>
    </w:p>
    <w:p>
      <w:pPr>
        <w:pStyle w:val="TextBody"/>
        <w:rPr/>
      </w:pPr>
      <w:r>
        <w:rP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pPr>
        <w:pStyle w:val="TextBody"/>
        <w:rPr/>
      </w:pPr>
      <w:r>
        <w:rP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pPr>
        <w:pStyle w:val="TextBody"/>
        <w:rPr/>
      </w:pPr>
      <w:r>
        <w:rPr/>
        <w:t>3) принятия заключения об обстоятельствах дела.</w:t>
      </w:r>
    </w:p>
    <w:p>
      <w:pPr>
        <w:pStyle w:val="TextBody"/>
        <w:rPr/>
      </w:pPr>
      <w:r>
        <w:rPr/>
        <w:t>1.2. При отложении рассмотрения дела о нарушении антимонопольного законодательства по основаниям, предусмотренным пунктами 1 и 2 части 1.1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pPr>
        <w:pStyle w:val="TextBody"/>
        <w:numPr>
          <w:ilvl w:val="0"/>
          <w:numId w:val="143"/>
        </w:numPr>
        <w:tabs>
          <w:tab w:val="left" w:pos="0" w:leader="none"/>
        </w:tabs>
        <w:spacing w:before="0" w:after="0"/>
        <w:ind w:left="707" w:hanging="283"/>
        <w:rPr/>
      </w:pPr>
      <w:r>
        <w:rPr/>
        <w:t xml:space="preserve">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 </w:t>
      </w:r>
    </w:p>
    <w:p>
      <w:pPr>
        <w:pStyle w:val="TextBody"/>
        <w:numPr>
          <w:ilvl w:val="0"/>
          <w:numId w:val="143"/>
        </w:numPr>
        <w:tabs>
          <w:tab w:val="left" w:pos="0" w:leader="none"/>
        </w:tabs>
        <w:ind w:left="707" w:hanging="283"/>
        <w:rPr/>
      </w:pPr>
      <w:r>
        <w:rPr/>
        <w:t xml:space="preserve">Комиссия может приостановить рассмотрение дела о нарушении антимонопольного законодательства в случае и на срок: </w:t>
      </w:r>
    </w:p>
    <w:p>
      <w:pPr>
        <w:pStyle w:val="TextBody"/>
        <w:rPr/>
      </w:pPr>
      <w:r>
        <w:rP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pPr>
        <w:pStyle w:val="TextBody"/>
        <w:rPr/>
      </w:pPr>
      <w:r>
        <w:rPr/>
        <w:t>2) проведения экспертизы.</w:t>
      </w:r>
    </w:p>
    <w:p>
      <w:pPr>
        <w:pStyle w:val="TextBody"/>
        <w:numPr>
          <w:ilvl w:val="0"/>
          <w:numId w:val="144"/>
        </w:numPr>
        <w:tabs>
          <w:tab w:val="left" w:pos="0" w:leader="none"/>
        </w:tabs>
        <w:spacing w:before="0" w:after="0"/>
        <w:ind w:left="707" w:hanging="283"/>
        <w:rPr/>
      </w:pPr>
      <w:r>
        <w:rPr/>
        <w:t xml:space="preserve">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 </w:t>
      </w:r>
    </w:p>
    <w:p>
      <w:pPr>
        <w:pStyle w:val="TextBody"/>
        <w:numPr>
          <w:ilvl w:val="0"/>
          <w:numId w:val="144"/>
        </w:numPr>
        <w:tabs>
          <w:tab w:val="left" w:pos="0" w:leader="none"/>
        </w:tabs>
        <w:ind w:left="707" w:hanging="283"/>
        <w:rPr/>
      </w:pPr>
      <w:r>
        <w:rPr/>
        <w:t xml:space="preserve">Об отложении, о приостановлении,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 </w:t>
      </w:r>
    </w:p>
    <w:p>
      <w:pPr>
        <w:pStyle w:val="TextBody"/>
        <w:rPr/>
      </w:pPr>
      <w:r>
        <w:rPr>
          <w:rStyle w:val="StrongEmphasis"/>
        </w:rPr>
        <w:t>Статья 47.1. Объединение или выделение дел о нарушении антимонопольного законодательства</w:t>
      </w:r>
    </w:p>
    <w:p>
      <w:pPr>
        <w:pStyle w:val="TextBody"/>
        <w:numPr>
          <w:ilvl w:val="0"/>
          <w:numId w:val="145"/>
        </w:numPr>
        <w:tabs>
          <w:tab w:val="left" w:pos="0" w:leader="none"/>
        </w:tabs>
        <w:spacing w:before="0" w:after="0"/>
        <w:ind w:left="707" w:hanging="283"/>
        <w:rPr/>
      </w:pPr>
      <w:r>
        <w:rPr/>
        <w:t xml:space="preserve">Антимонопольный 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 </w:t>
      </w:r>
    </w:p>
    <w:p>
      <w:pPr>
        <w:pStyle w:val="TextBody"/>
        <w:numPr>
          <w:ilvl w:val="0"/>
          <w:numId w:val="145"/>
        </w:numPr>
        <w:tabs>
          <w:tab w:val="left" w:pos="0" w:leader="none"/>
        </w:tabs>
        <w:spacing w:before="0" w:after="0"/>
        <w:ind w:left="707" w:hanging="283"/>
        <w:rPr/>
      </w:pPr>
      <w:r>
        <w:rPr/>
        <w:t xml:space="preserve">Об объединении дел в одно производство или о выделении дела в отдельное производство антимонопольным органом выносится определение. </w:t>
      </w:r>
    </w:p>
    <w:p>
      <w:pPr>
        <w:pStyle w:val="TextBody"/>
        <w:numPr>
          <w:ilvl w:val="0"/>
          <w:numId w:val="145"/>
        </w:numPr>
        <w:tabs>
          <w:tab w:val="left" w:pos="0" w:leader="none"/>
        </w:tabs>
        <w:ind w:left="707" w:hanging="283"/>
        <w:rPr/>
      </w:pPr>
      <w:r>
        <w:rPr/>
        <w:t xml:space="preserve">Состав комиссии по рассмотрению объединенных или выделенных дел определяется приказом антимонопольного органа. </w:t>
      </w:r>
    </w:p>
    <w:p>
      <w:pPr>
        <w:pStyle w:val="TextBody"/>
        <w:rPr/>
      </w:pPr>
      <w:r>
        <w:rPr>
          <w:rStyle w:val="StrongEmphasis"/>
        </w:rPr>
        <w:t>Статья 48. Прекращение рассмотрения дела о нарушении антимонопольного законодательства</w:t>
      </w:r>
    </w:p>
    <w:p>
      <w:pPr>
        <w:pStyle w:val="TextBody"/>
        <w:numPr>
          <w:ilvl w:val="0"/>
          <w:numId w:val="146"/>
        </w:numPr>
        <w:tabs>
          <w:tab w:val="left" w:pos="0" w:leader="none"/>
        </w:tabs>
        <w:ind w:left="707" w:hanging="283"/>
        <w:rPr/>
      </w:pPr>
      <w:r>
        <w:rPr/>
        <w:t xml:space="preserve">Комиссия прекращает рассмотрение дела о нарушении антимонопольного законодательства в случае: </w:t>
      </w:r>
    </w:p>
    <w:p>
      <w:pPr>
        <w:pStyle w:val="TextBody"/>
        <w:rPr/>
      </w:pPr>
      <w:r>
        <w:rPr/>
        <w:t>1) отсутствия нарушения антимонопольного законодательства в рассматриваемых комиссией действиях (бездействии);</w:t>
      </w:r>
    </w:p>
    <w:p>
      <w:pPr>
        <w:pStyle w:val="TextBody"/>
        <w:rPr/>
      </w:pPr>
      <w:r>
        <w:rPr/>
        <w:t>2) ликвидации юридического лица - единственного ответчика по делу;</w:t>
      </w:r>
    </w:p>
    <w:p>
      <w:pPr>
        <w:pStyle w:val="TextBody"/>
        <w:rPr/>
      </w:pPr>
      <w:r>
        <w:rPr/>
        <w:t>3) смерти физического лица - единственного ответчика по делу;</w:t>
      </w:r>
    </w:p>
    <w:p>
      <w:pPr>
        <w:pStyle w:val="TextBody"/>
        <w:rPr/>
      </w:pPr>
      <w:r>
        <w:rP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pPr>
        <w:pStyle w:val="TextBody"/>
        <w:rPr/>
      </w:pPr>
      <w:r>
        <w:rPr/>
        <w:t>5) истечения срока давности, предусмотренного статьей 41.1 настоящего Федерального закона.</w:t>
      </w:r>
    </w:p>
    <w:p>
      <w:pPr>
        <w:pStyle w:val="TextBody"/>
        <w:numPr>
          <w:ilvl w:val="0"/>
          <w:numId w:val="147"/>
        </w:numPr>
        <w:tabs>
          <w:tab w:val="left" w:pos="0" w:leader="none"/>
        </w:tabs>
        <w:ind w:left="707" w:hanging="283"/>
        <w:rPr/>
      </w:pPr>
      <w:r>
        <w:rPr/>
        <w:t xml:space="preserve">Решение о прекращении рассмотрения дела о нарушении антимонопольного законодательства принимается комиссией в соответствии с требованиями, установленными статьей 41 настоящего Федерального закона. В случае, если рассмотрение дела прекращается в соответствии с пунктом 4 части 1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 </w:t>
      </w:r>
    </w:p>
    <w:p>
      <w:pPr>
        <w:pStyle w:val="TextBody"/>
        <w:rPr/>
      </w:pPr>
      <w:r>
        <w:rPr>
          <w:rStyle w:val="StrongEmphasis"/>
        </w:rPr>
        <w:t>Статья 48.1. Заключение об обстоятельствах дела</w:t>
      </w:r>
    </w:p>
    <w:p>
      <w:pPr>
        <w:pStyle w:val="TextBody"/>
        <w:rPr/>
      </w:pPr>
      <w:r>
        <w:rPr/>
        <w:t>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TextBody"/>
        <w:rPr/>
      </w:pPr>
      <w:r>
        <w:rP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TextBody"/>
        <w:numPr>
          <w:ilvl w:val="0"/>
          <w:numId w:val="148"/>
        </w:numPr>
        <w:tabs>
          <w:tab w:val="left" w:pos="0" w:leader="none"/>
        </w:tabs>
        <w:spacing w:before="0" w:after="0"/>
        <w:ind w:left="707" w:hanging="283"/>
        <w:rPr/>
      </w:pPr>
      <w:r>
        <w:rPr/>
        <w:t xml:space="preserve">В случае принятия заключения об обстоятельствах дела дело о нарушении антимонопольного законодательства подлежит отложению. </w:t>
      </w:r>
    </w:p>
    <w:p>
      <w:pPr>
        <w:pStyle w:val="TextBody"/>
        <w:numPr>
          <w:ilvl w:val="0"/>
          <w:numId w:val="148"/>
        </w:numPr>
        <w:tabs>
          <w:tab w:val="left" w:pos="0" w:leader="none"/>
        </w:tabs>
        <w:spacing w:before="0" w:after="0"/>
        <w:ind w:left="707" w:hanging="283"/>
        <w:rPr/>
      </w:pPr>
      <w:r>
        <w:rPr/>
        <w:t xml:space="preserve">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 </w:t>
      </w:r>
    </w:p>
    <w:p>
      <w:pPr>
        <w:pStyle w:val="TextBody"/>
        <w:numPr>
          <w:ilvl w:val="0"/>
          <w:numId w:val="148"/>
        </w:numPr>
        <w:tabs>
          <w:tab w:val="left" w:pos="0" w:leader="none"/>
        </w:tabs>
        <w:spacing w:before="0" w:after="0"/>
        <w:ind w:left="707" w:hanging="283"/>
        <w:rPr/>
      </w:pPr>
      <w:r>
        <w:rPr/>
        <w:t xml:space="preserve">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 </w:t>
      </w:r>
    </w:p>
    <w:p>
      <w:pPr>
        <w:pStyle w:val="TextBody"/>
        <w:numPr>
          <w:ilvl w:val="0"/>
          <w:numId w:val="148"/>
        </w:numPr>
        <w:tabs>
          <w:tab w:val="left" w:pos="0" w:leader="none"/>
        </w:tabs>
        <w:spacing w:before="0" w:after="0"/>
        <w:ind w:left="707" w:hanging="283"/>
        <w:rPr/>
      </w:pPr>
      <w:r>
        <w:rPr/>
        <w:t xml:space="preserve">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пункта 1 части 1.1 статьи 47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 </w:t>
      </w:r>
    </w:p>
    <w:p>
      <w:pPr>
        <w:pStyle w:val="TextBody"/>
        <w:numPr>
          <w:ilvl w:val="0"/>
          <w:numId w:val="148"/>
        </w:numPr>
        <w:tabs>
          <w:tab w:val="left" w:pos="0" w:leader="none"/>
        </w:tabs>
        <w:ind w:left="707" w:hanging="283"/>
        <w:rPr/>
      </w:pPr>
      <w:r>
        <w:rPr/>
        <w:t xml:space="preserve">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пункта 1 части 1 статьи 48 настоящего Федерального закона прекращает рассмотрение дела о нарушении антимонопольного законодательства. </w:t>
      </w:r>
    </w:p>
    <w:p>
      <w:pPr>
        <w:pStyle w:val="TextBody"/>
        <w:rPr/>
      </w:pPr>
      <w:r>
        <w:rPr>
          <w:rStyle w:val="StrongEmphasis"/>
        </w:rPr>
        <w:t>Статья 49. Принятие комиссией решения по делу о нарушении антимонопольного законодательства</w:t>
      </w:r>
    </w:p>
    <w:p>
      <w:pPr>
        <w:pStyle w:val="TextBody"/>
        <w:numPr>
          <w:ilvl w:val="0"/>
          <w:numId w:val="149"/>
        </w:numPr>
        <w:tabs>
          <w:tab w:val="left" w:pos="0" w:leader="none"/>
        </w:tabs>
        <w:ind w:left="707" w:hanging="283"/>
        <w:rPr/>
      </w:pPr>
      <w:r>
        <w:rPr/>
        <w:t xml:space="preserve">Комиссия при принятии решения по делу о нарушении антимонопольного законодательства: </w:t>
      </w:r>
    </w:p>
    <w:p>
      <w:pPr>
        <w:pStyle w:val="TextBody"/>
        <w:rPr/>
      </w:pPr>
      <w:r>
        <w:rPr/>
        <w:t>1) оценивает доказательства и доводы, представленные лицами, участвующими в деле;</w:t>
      </w:r>
    </w:p>
    <w:p>
      <w:pPr>
        <w:pStyle w:val="TextBody"/>
        <w:rPr/>
      </w:pPr>
      <w:r>
        <w:rPr/>
        <w:t>2) оценивает заключения и пояснения экспертов, а также лиц, располагающих сведениями о рассматриваемых комиссией обстоятельствах;</w:t>
      </w:r>
    </w:p>
    <w:p>
      <w:pPr>
        <w:pStyle w:val="TextBody"/>
        <w:rPr/>
      </w:pPr>
      <w:r>
        <w:rP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pPr>
        <w:pStyle w:val="TextBody"/>
        <w:rPr/>
      </w:pPr>
      <w:r>
        <w:rPr/>
        <w:t>4) устанавливает права и обязанности лиц, участвующих в деле;</w:t>
      </w:r>
    </w:p>
    <w:p>
      <w:pPr>
        <w:pStyle w:val="TextBody"/>
        <w:rPr/>
      </w:pPr>
      <w:r>
        <w:rP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pPr>
        <w:pStyle w:val="TextBody"/>
        <w:numPr>
          <w:ilvl w:val="0"/>
          <w:numId w:val="150"/>
        </w:numPr>
        <w:tabs>
          <w:tab w:val="left" w:pos="0" w:leader="none"/>
        </w:tabs>
        <w:ind w:left="707" w:hanging="283"/>
        <w:rPr/>
      </w:pPr>
      <w:r>
        <w:rPr/>
        <w:t xml:space="preserve">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 </w:t>
      </w:r>
    </w:p>
    <w:p>
      <w:pPr>
        <w:pStyle w:val="TextBody"/>
        <w:rPr/>
      </w:pPr>
      <w:r>
        <w:rPr>
          <w:rStyle w:val="StrongEmphasis"/>
        </w:rPr>
        <w:t>Статья 50. Предписание по делу о нарушении антимонопольного законодательства</w:t>
      </w:r>
    </w:p>
    <w:p>
      <w:pPr>
        <w:pStyle w:val="TextBody"/>
        <w:numPr>
          <w:ilvl w:val="0"/>
          <w:numId w:val="151"/>
        </w:numPr>
        <w:tabs>
          <w:tab w:val="left" w:pos="0" w:leader="none"/>
        </w:tabs>
        <w:spacing w:before="0" w:after="0"/>
        <w:ind w:left="707" w:hanging="283"/>
        <w:rPr/>
      </w:pPr>
      <w:r>
        <w:rPr/>
        <w:t xml:space="preserve">По результатам рассмотрения дела о нарушении антимонопольного законодательства на основании решения по делу комиссия выдает предписание ответчику по делу. </w:t>
      </w:r>
    </w:p>
    <w:p>
      <w:pPr>
        <w:pStyle w:val="TextBody"/>
        <w:numPr>
          <w:ilvl w:val="0"/>
          <w:numId w:val="151"/>
        </w:numPr>
        <w:tabs>
          <w:tab w:val="left" w:pos="0" w:leader="none"/>
        </w:tabs>
        <w:ind w:left="707" w:hanging="283"/>
        <w:rPr/>
      </w:pPr>
      <w:r>
        <w:rPr/>
        <w:t xml:space="preserve">Предписание по делу о нарушении антимонопольного законодательства изготавливается одновременно с решением. Копия предписания немедленно направляется или вручается лицу, которому предписывается совершить определенные решением действия. </w:t>
      </w:r>
    </w:p>
    <w:p>
      <w:pPr>
        <w:pStyle w:val="TextBody"/>
        <w:rPr/>
      </w:pPr>
      <w:r>
        <w:rPr>
          <w:rStyle w:val="StrongEmphasis"/>
        </w:rP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pPr>
        <w:pStyle w:val="TextBody"/>
        <w:numPr>
          <w:ilvl w:val="0"/>
          <w:numId w:val="152"/>
        </w:numPr>
        <w:tabs>
          <w:tab w:val="left" w:pos="0" w:leader="none"/>
        </w:tabs>
        <w:spacing w:before="0" w:after="0"/>
        <w:ind w:left="707" w:hanging="283"/>
        <w:rPr/>
      </w:pPr>
      <w:r>
        <w:rPr/>
        <w:t xml:space="preserve">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 </w:t>
      </w:r>
    </w:p>
    <w:p>
      <w:pPr>
        <w:pStyle w:val="TextBody"/>
        <w:numPr>
          <w:ilvl w:val="0"/>
          <w:numId w:val="152"/>
        </w:numPr>
        <w:tabs>
          <w:tab w:val="left" w:pos="0" w:leader="none"/>
        </w:tabs>
        <w:spacing w:before="0" w:after="0"/>
        <w:ind w:left="707" w:hanging="283"/>
        <w:rPr/>
      </w:pPr>
      <w:r>
        <w:rPr/>
        <w:t xml:space="preserve">Неисполнение в срок предписания по делу о нарушении антимонопольного законодательства влечет за собой административную ответственность. </w:t>
      </w:r>
    </w:p>
    <w:p>
      <w:pPr>
        <w:pStyle w:val="TextBody"/>
        <w:numPr>
          <w:ilvl w:val="0"/>
          <w:numId w:val="152"/>
        </w:numPr>
        <w:tabs>
          <w:tab w:val="left" w:pos="0" w:leader="none"/>
        </w:tabs>
        <w:spacing w:before="0" w:after="0"/>
        <w:ind w:left="707" w:hanging="283"/>
        <w:rPr/>
      </w:pPr>
      <w:r>
        <w:rPr/>
        <w:t xml:space="preserve">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 </w:t>
      </w:r>
    </w:p>
    <w:p>
      <w:pPr>
        <w:pStyle w:val="TextBody"/>
        <w:numPr>
          <w:ilvl w:val="0"/>
          <w:numId w:val="152"/>
        </w:numPr>
        <w:tabs>
          <w:tab w:val="left" w:pos="0" w:leader="none"/>
        </w:tabs>
        <w:spacing w:before="0" w:after="0"/>
        <w:ind w:left="707" w:hanging="283"/>
        <w:rPr/>
      </w:pPr>
      <w:r>
        <w:rPr/>
        <w:t xml:space="preserve">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 </w:t>
      </w:r>
    </w:p>
    <w:p>
      <w:pPr>
        <w:pStyle w:val="TextBody"/>
        <w:numPr>
          <w:ilvl w:val="0"/>
          <w:numId w:val="152"/>
        </w:numPr>
        <w:tabs>
          <w:tab w:val="left" w:pos="0" w:leader="none"/>
        </w:tabs>
        <w:spacing w:before="0" w:after="0"/>
        <w:ind w:left="707" w:hanging="283"/>
        <w:rPr/>
      </w:pPr>
      <w:r>
        <w:rPr/>
        <w:t xml:space="preserve">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 </w:t>
      </w:r>
    </w:p>
    <w:p>
      <w:pPr>
        <w:pStyle w:val="TextBody"/>
        <w:numPr>
          <w:ilvl w:val="0"/>
          <w:numId w:val="152"/>
        </w:numPr>
        <w:tabs>
          <w:tab w:val="left" w:pos="0" w:leader="none"/>
        </w:tabs>
        <w:spacing w:before="0" w:after="0"/>
        <w:ind w:left="707" w:hanging="283"/>
        <w:rPr/>
      </w:pPr>
      <w:r>
        <w:rPr/>
        <w:t xml:space="preserve">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 </w:t>
      </w:r>
    </w:p>
    <w:p>
      <w:pPr>
        <w:pStyle w:val="TextBody"/>
        <w:numPr>
          <w:ilvl w:val="0"/>
          <w:numId w:val="152"/>
        </w:numPr>
        <w:tabs>
          <w:tab w:val="left" w:pos="0" w:leader="none"/>
        </w:tabs>
        <w:ind w:left="707" w:hanging="283"/>
        <w:rPr/>
      </w:pPr>
      <w:r>
        <w:rPr/>
        <w:t xml:space="preserve">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 </w:t>
      </w:r>
    </w:p>
    <w:p>
      <w:pPr>
        <w:pStyle w:val="TextBody"/>
        <w:rPr/>
      </w:pPr>
      <w:r>
        <w:rPr>
          <w:rStyle w:val="StrongEmphasis"/>
        </w:rP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pPr>
        <w:pStyle w:val="TextBody"/>
        <w:numPr>
          <w:ilvl w:val="0"/>
          <w:numId w:val="153"/>
        </w:numPr>
        <w:tabs>
          <w:tab w:val="left" w:pos="0" w:leader="none"/>
        </w:tabs>
        <w:spacing w:before="0" w:after="0"/>
        <w:ind w:left="707" w:hanging="283"/>
        <w:rPr/>
      </w:pPr>
      <w:r>
        <w:rPr/>
        <w:t xml:space="preserve">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 </w:t>
      </w:r>
    </w:p>
    <w:p>
      <w:pPr>
        <w:pStyle w:val="TextBody"/>
        <w:numPr>
          <w:ilvl w:val="0"/>
          <w:numId w:val="153"/>
        </w:numPr>
        <w:tabs>
          <w:tab w:val="left" w:pos="0" w:leader="none"/>
        </w:tabs>
        <w:spacing w:before="0" w:after="0"/>
        <w:ind w:left="707" w:hanging="283"/>
        <w:rPr/>
      </w:pPr>
      <w:r>
        <w:rPr/>
        <w:t xml:space="preserve">По вопросам разъяснения решения и (или) предписания, исправления описки, опечатки и арифметической ошибки комиссия выносит определение. </w:t>
      </w:r>
    </w:p>
    <w:p>
      <w:pPr>
        <w:pStyle w:val="TextBody"/>
        <w:numPr>
          <w:ilvl w:val="0"/>
          <w:numId w:val="153"/>
        </w:numPr>
        <w:tabs>
          <w:tab w:val="left" w:pos="0" w:leader="none"/>
        </w:tabs>
        <w:ind w:left="707" w:hanging="283"/>
        <w:rPr/>
      </w:pPr>
      <w:r>
        <w:rPr/>
        <w:t xml:space="preserve">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 </w:t>
      </w:r>
    </w:p>
    <w:p>
      <w:pPr>
        <w:pStyle w:val="TextBody"/>
        <w:rPr/>
      </w:pPr>
      <w:r>
        <w:rPr>
          <w:rStyle w:val="StrongEmphasis"/>
        </w:rP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pPr>
        <w:pStyle w:val="TextBody"/>
        <w:numPr>
          <w:ilvl w:val="0"/>
          <w:numId w:val="154"/>
        </w:numPr>
        <w:tabs>
          <w:tab w:val="left" w:pos="0" w:leader="none"/>
        </w:tabs>
        <w:spacing w:before="0" w:after="0"/>
        <w:ind w:left="707" w:hanging="283"/>
        <w:rPr/>
      </w:pPr>
      <w:r>
        <w:rPr/>
        <w:t xml:space="preserve">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 </w:t>
      </w:r>
    </w:p>
    <w:p>
      <w:pPr>
        <w:pStyle w:val="TextBody"/>
        <w:numPr>
          <w:ilvl w:val="0"/>
          <w:numId w:val="154"/>
        </w:numPr>
        <w:tabs>
          <w:tab w:val="left" w:pos="0" w:leader="none"/>
        </w:tabs>
        <w:ind w:left="707" w:hanging="283"/>
        <w:rPr/>
      </w:pPr>
      <w:r>
        <w:rPr/>
        <w:t xml:space="preserve">Основаниями для пересмотра решения и (или) выданного на его основании предписания по делу о нарушении антимонопольного законодательства являются: </w:t>
      </w:r>
    </w:p>
    <w:p>
      <w:pPr>
        <w:pStyle w:val="TextBody"/>
        <w:rPr/>
      </w:pPr>
      <w:r>
        <w:rP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pPr>
        <w:pStyle w:val="TextBody"/>
        <w:rPr/>
      </w:pPr>
      <w:r>
        <w:rP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pPr>
        <w:pStyle w:val="TextBody"/>
        <w:numPr>
          <w:ilvl w:val="0"/>
          <w:numId w:val="155"/>
        </w:numPr>
        <w:tabs>
          <w:tab w:val="left" w:pos="0" w:leader="none"/>
        </w:tabs>
        <w:spacing w:before="0" w:after="0"/>
        <w:ind w:left="707" w:hanging="283"/>
        <w:rPr/>
      </w:pPr>
      <w:r>
        <w:rPr/>
        <w:t xml:space="preserve">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 </w:t>
      </w:r>
    </w:p>
    <w:p>
      <w:pPr>
        <w:pStyle w:val="TextBody"/>
        <w:numPr>
          <w:ilvl w:val="0"/>
          <w:numId w:val="155"/>
        </w:numPr>
        <w:tabs>
          <w:tab w:val="left" w:pos="0" w:leader="none"/>
        </w:tabs>
        <w:spacing w:before="0" w:after="0"/>
        <w:ind w:left="707" w:hanging="283"/>
        <w:rPr/>
      </w:pPr>
      <w:r>
        <w:rPr/>
        <w:t xml:space="preserve">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 </w:t>
      </w:r>
    </w:p>
    <w:p>
      <w:pPr>
        <w:pStyle w:val="TextBody"/>
        <w:numPr>
          <w:ilvl w:val="0"/>
          <w:numId w:val="155"/>
        </w:numPr>
        <w:tabs>
          <w:tab w:val="left" w:pos="0" w:leader="none"/>
        </w:tabs>
        <w:spacing w:before="0" w:after="0"/>
        <w:ind w:left="707" w:hanging="283"/>
        <w:rPr/>
      </w:pPr>
      <w:r>
        <w:rPr/>
        <w:t xml:space="preserve">Форма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 </w:t>
      </w:r>
    </w:p>
    <w:p>
      <w:pPr>
        <w:pStyle w:val="TextBody"/>
        <w:numPr>
          <w:ilvl w:val="0"/>
          <w:numId w:val="155"/>
        </w:numPr>
        <w:tabs>
          <w:tab w:val="left" w:pos="0" w:leader="none"/>
        </w:tabs>
        <w:ind w:left="707" w:hanging="283"/>
        <w:rPr/>
      </w:pPr>
      <w:r>
        <w:rPr/>
        <w:t xml:space="preserve">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 </w:t>
      </w:r>
    </w:p>
    <w:p>
      <w:pPr>
        <w:pStyle w:val="TextBody"/>
        <w:rPr/>
      </w:pPr>
      <w:r>
        <w:rPr/>
        <w:t>1) не соблюдены требования, предъявляемые к форме и содержанию заявления;</w:t>
      </w:r>
    </w:p>
    <w:p>
      <w:pPr>
        <w:pStyle w:val="TextBody"/>
        <w:rPr/>
      </w:pPr>
      <w:r>
        <w:rP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pPr>
        <w:pStyle w:val="TextBody"/>
        <w:numPr>
          <w:ilvl w:val="0"/>
          <w:numId w:val="156"/>
        </w:numPr>
        <w:tabs>
          <w:tab w:val="left" w:pos="0" w:leader="none"/>
        </w:tabs>
        <w:spacing w:before="0" w:after="0"/>
        <w:ind w:left="707" w:hanging="283"/>
        <w:rPr/>
      </w:pPr>
      <w:r>
        <w:rPr/>
        <w:t xml:space="preserve">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 </w:t>
      </w:r>
    </w:p>
    <w:p>
      <w:pPr>
        <w:pStyle w:val="TextBody"/>
        <w:numPr>
          <w:ilvl w:val="0"/>
          <w:numId w:val="156"/>
        </w:numPr>
        <w:tabs>
          <w:tab w:val="left" w:pos="0" w:leader="none"/>
        </w:tabs>
        <w:ind w:left="707" w:hanging="283"/>
        <w:rPr/>
      </w:pPr>
      <w:r>
        <w:rPr/>
        <w:t xml:space="preserve">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 </w:t>
      </w:r>
    </w:p>
    <w:p>
      <w:pPr>
        <w:pStyle w:val="TextBody"/>
        <w:rPr/>
      </w:pPr>
      <w:r>
        <w:rPr/>
        <w:t>1) об удовлетворении заявления и о пересмотре решения и (или) предписания;</w:t>
      </w:r>
    </w:p>
    <w:p>
      <w:pPr>
        <w:pStyle w:val="TextBody"/>
        <w:rPr/>
      </w:pPr>
      <w:r>
        <w:rPr/>
        <w:t>2) об отказе в удовлетворении заявления.</w:t>
      </w:r>
    </w:p>
    <w:p>
      <w:pPr>
        <w:pStyle w:val="TextBody"/>
        <w:numPr>
          <w:ilvl w:val="0"/>
          <w:numId w:val="157"/>
        </w:numPr>
        <w:tabs>
          <w:tab w:val="left" w:pos="0" w:leader="none"/>
        </w:tabs>
        <w:spacing w:before="0" w:after="0"/>
        <w:ind w:left="707" w:hanging="283"/>
        <w:rPr/>
      </w:pPr>
      <w:r>
        <w:rPr/>
        <w:t xml:space="preserve">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 </w:t>
      </w:r>
    </w:p>
    <w:p>
      <w:pPr>
        <w:pStyle w:val="TextBody"/>
        <w:numPr>
          <w:ilvl w:val="0"/>
          <w:numId w:val="157"/>
        </w:numPr>
        <w:tabs>
          <w:tab w:val="left" w:pos="0" w:leader="none"/>
        </w:tabs>
        <w:spacing w:before="0" w:after="0"/>
        <w:ind w:left="707" w:hanging="283"/>
        <w:rPr/>
      </w:pPr>
      <w:r>
        <w:rPr/>
        <w:t xml:space="preserve">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 </w:t>
      </w:r>
    </w:p>
    <w:p>
      <w:pPr>
        <w:pStyle w:val="TextBody"/>
        <w:numPr>
          <w:ilvl w:val="0"/>
          <w:numId w:val="157"/>
        </w:numPr>
        <w:tabs>
          <w:tab w:val="left" w:pos="0" w:leader="none"/>
        </w:tabs>
        <w:ind w:left="707" w:hanging="283"/>
        <w:rPr/>
      </w:pPr>
      <w:r>
        <w:rPr/>
        <w:t xml:space="preserve">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 </w:t>
      </w:r>
    </w:p>
    <w:p>
      <w:pPr>
        <w:pStyle w:val="TextBody"/>
        <w:rPr/>
      </w:pPr>
      <w:r>
        <w:rPr>
          <w:rStyle w:val="StrongEmphasis"/>
        </w:rPr>
        <w:t>Статья 52. Порядок обжалования решений и предписаний антимонопольного органа</w:t>
      </w:r>
    </w:p>
    <w:p>
      <w:pPr>
        <w:pStyle w:val="TextBody"/>
        <w:numPr>
          <w:ilvl w:val="0"/>
          <w:numId w:val="158"/>
        </w:numPr>
        <w:tabs>
          <w:tab w:val="left" w:pos="0" w:leader="none"/>
        </w:tabs>
        <w:ind w:left="707" w:hanging="283"/>
        <w:rPr/>
      </w:pPr>
      <w:r>
        <w:rPr/>
        <w:t xml:space="preserve">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 </w:t>
      </w:r>
    </w:p>
    <w:p>
      <w:pPr>
        <w:pStyle w:val="TextBody"/>
        <w:rPr/>
      </w:pPr>
      <w:r>
        <w:rP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pPr>
        <w:pStyle w:val="TextBody"/>
        <w:numPr>
          <w:ilvl w:val="0"/>
          <w:numId w:val="159"/>
        </w:numPr>
        <w:tabs>
          <w:tab w:val="left" w:pos="0" w:leader="none"/>
        </w:tabs>
        <w:ind w:left="707" w:hanging="283"/>
        <w:rPr/>
      </w:pPr>
      <w:r>
        <w:rPr/>
        <w:t xml:space="preserve">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w:t>
      </w:r>
    </w:p>
    <w:p>
      <w:pPr>
        <w:pStyle w:val="TextBody"/>
        <w:rPr/>
      </w:pPr>
      <w:r>
        <w:rPr>
          <w:rStyle w:val="StrongEmphasis"/>
        </w:rPr>
        <w:t>Глава 10. ЗАКЛЮЧИТЕЛЬНЫЕ ПОЛОЖЕНИЯ И ВСТУПЛЕНИЕ В СИЛУ</w:t>
      </w:r>
    </w:p>
    <w:p>
      <w:pPr>
        <w:pStyle w:val="TextBody"/>
        <w:rPr/>
      </w:pPr>
      <w:r>
        <w:rPr>
          <w:rStyle w:val="StrongEmphasis"/>
        </w:rPr>
        <w:t>НАСТОЯЩЕГО ФЕДЕРАЛЬНОГО ЗАКОНА</w:t>
      </w:r>
    </w:p>
    <w:p>
      <w:pPr>
        <w:pStyle w:val="TextBody"/>
        <w:rPr/>
      </w:pPr>
      <w:r>
        <w:rPr>
          <w:rStyle w:val="StrongEmphasis"/>
        </w:rPr>
        <w:t>Статья 53. Заключительные положения</w:t>
      </w:r>
    </w:p>
    <w:p>
      <w:pPr>
        <w:pStyle w:val="TextBody"/>
        <w:numPr>
          <w:ilvl w:val="0"/>
          <w:numId w:val="160"/>
        </w:numPr>
        <w:tabs>
          <w:tab w:val="left" w:pos="0" w:leader="none"/>
        </w:tabs>
        <w:ind w:left="707" w:hanging="283"/>
        <w:rPr/>
      </w:pPr>
      <w:r>
        <w:rPr/>
        <w:t xml:space="preserve">Со дня вступления в силу настоящего Федерального закона признать утратившими силу: </w:t>
      </w:r>
    </w:p>
    <w:p>
      <w:pPr>
        <w:pStyle w:val="TextBody"/>
        <w:rPr/>
      </w:pPr>
      <w:r>
        <w:rPr/>
        <w:t>1) статьи 1 - 2, абзацы второй - двадцать пятый части первой и часть вторую статьи 4, разделы II - VII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pPr>
        <w:pStyle w:val="TextBody"/>
        <w:rPr/>
      </w:pPr>
      <w:r>
        <w:rPr/>
        <w:t>2) статью 14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TextBody"/>
        <w:rPr/>
      </w:pPr>
      <w:r>
        <w:rPr/>
        <w:t>3) пункты 1 - 4, абзацы четвертый - двадцатый пункта 5, пункты 6 - 26, 30 - 34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pPr>
        <w:pStyle w:val="TextBody"/>
        <w:rPr/>
      </w:pPr>
      <w:r>
        <w:rPr/>
        <w:t>4) пункт 1, абзацы второй - седьмой, девятый - тринадцатый пункта 2 и пункт 3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pPr>
        <w:pStyle w:val="TextBody"/>
        <w:rPr/>
      </w:pPr>
      <w:r>
        <w:rPr/>
        <w:t>5) Федеральный закон от 23 июня 1999 года N 117-ФЗ "О защите конкуренции на рынке финансовых услуг" (Собрание законодательства Российской Федерации, 1999, N 26, ст. 3174);</w:t>
      </w:r>
    </w:p>
    <w:p>
      <w:pPr>
        <w:pStyle w:val="TextBody"/>
        <w:rPr/>
      </w:pPr>
      <w:r>
        <w:rPr/>
        <w:t>6) Федеральный закон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pPr>
        <w:pStyle w:val="TextBody"/>
        <w:rPr/>
      </w:pPr>
      <w:r>
        <w:rPr/>
        <w:t>7) абзацы второй - пятый, тридцать восьмой - сорок второй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TextBody"/>
        <w:rPr/>
      </w:pPr>
      <w:r>
        <w:rPr/>
        <w:t>8) пункт 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TextBody"/>
        <w:rPr/>
      </w:pPr>
      <w:r>
        <w:rPr/>
        <w:t>9) пункты 1 - 4, абзацы второй - восемнадцатый пункта 5, пункты 6 - 33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pPr>
        <w:pStyle w:val="TextBody"/>
        <w:rPr/>
      </w:pPr>
      <w:r>
        <w:rPr/>
        <w:t>10) Федеральный закон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pPr>
        <w:pStyle w:val="TextBody"/>
        <w:rPr/>
      </w:pPr>
      <w:r>
        <w:rPr/>
        <w:t>11) статьи 2 и 21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TextBody"/>
        <w:numPr>
          <w:ilvl w:val="0"/>
          <w:numId w:val="161"/>
        </w:numPr>
        <w:tabs>
          <w:tab w:val="left" w:pos="0" w:leader="none"/>
        </w:tabs>
        <w:spacing w:before="0" w:after="0"/>
        <w:ind w:left="707" w:hanging="283"/>
        <w:rPr/>
      </w:pPr>
      <w:r>
        <w:rPr/>
        <w:t xml:space="preserve">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 </w:t>
      </w:r>
    </w:p>
    <w:p>
      <w:pPr>
        <w:pStyle w:val="TextBody"/>
        <w:numPr>
          <w:ilvl w:val="0"/>
          <w:numId w:val="161"/>
        </w:numPr>
        <w:tabs>
          <w:tab w:val="left" w:pos="0" w:leader="none"/>
        </w:tabs>
        <w:spacing w:before="0" w:after="0"/>
        <w:ind w:left="707" w:hanging="283"/>
        <w:rPr/>
      </w:pPr>
      <w:r>
        <w:rPr/>
        <w:t xml:space="preserve">До установления предусмотренного частью 5 статьи 17.1 настоящего Федерального закона порядка проведения конкурсов или аукционов на право заключения договоров, указанных в частях 1 и 3 статьи 17.1 настоящего Федерального закона, конкурсы на право заключения таких договоров проводятся в порядке, установленном Федеральным законом от 21 июля 2005 года N 115-ФЗ "О концессионных соглашениях", а аукционы на право заключения таких договоров проводятся в порядке, установленном Федеральным законом от 21 декабря 2001 года N 178-ФЗ "О приватизации государственного и муниципального имущества". </w:t>
      </w:r>
    </w:p>
    <w:p>
      <w:pPr>
        <w:pStyle w:val="TextBody"/>
        <w:numPr>
          <w:ilvl w:val="0"/>
          <w:numId w:val="161"/>
        </w:numPr>
        <w:tabs>
          <w:tab w:val="left" w:pos="0" w:leader="none"/>
        </w:tabs>
        <w:ind w:left="707" w:hanging="283"/>
        <w:rPr/>
      </w:pPr>
      <w:r>
        <w:rPr/>
        <w:t xml:space="preserve">Утратил силу с 1 июля 2013 года. </w:t>
      </w:r>
    </w:p>
    <w:p>
      <w:pPr>
        <w:pStyle w:val="TextBody"/>
        <w:rPr/>
      </w:pPr>
      <w:r>
        <w:rPr/>
        <w:t>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частями 9 - 11 статьи 17.1 настоящего Федерального закона. При этом положение пункта 1 части 9 статьи 17.1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частью 1 статьи 12.1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TextBody"/>
        <w:numPr>
          <w:ilvl w:val="0"/>
          <w:numId w:val="162"/>
        </w:numPr>
        <w:tabs>
          <w:tab w:val="left" w:pos="0" w:leader="none"/>
        </w:tabs>
        <w:spacing w:before="0" w:after="0"/>
        <w:ind w:left="707" w:hanging="283"/>
        <w:rPr/>
      </w:pPr>
      <w:r>
        <w:rPr/>
        <w:t xml:space="preserve">До 1 января 2011 года информация о проведении конкурсов или аукционов на право заключения договоров, указанных в частях 1 и 3 статьи 17.1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p>
    <w:p>
      <w:pPr>
        <w:pStyle w:val="TextBody"/>
        <w:numPr>
          <w:ilvl w:val="0"/>
          <w:numId w:val="162"/>
        </w:numPr>
        <w:tabs>
          <w:tab w:val="left" w:pos="0" w:leader="none"/>
        </w:tabs>
        <w:spacing w:before="0" w:after="0"/>
        <w:ind w:left="707" w:hanging="283"/>
        <w:rPr/>
      </w:pPr>
      <w:r>
        <w:rPr/>
        <w:t xml:space="preserve">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статье 18 настоящего Федерального закона. </w:t>
      </w:r>
    </w:p>
    <w:p>
      <w:pPr>
        <w:pStyle w:val="TextBody"/>
        <w:numPr>
          <w:ilvl w:val="0"/>
          <w:numId w:val="162"/>
        </w:numPr>
        <w:tabs>
          <w:tab w:val="left" w:pos="0" w:leader="none"/>
        </w:tabs>
        <w:ind w:left="707" w:hanging="283"/>
        <w:rPr/>
      </w:pPr>
      <w:r>
        <w:rPr/>
        <w:t xml:space="preserve">Утратил силу с 16 августа 2018 года. - Федеральный закон от 23.04.2018 N 91-ФЗ. </w:t>
      </w:r>
    </w:p>
    <w:p>
      <w:pPr>
        <w:pStyle w:val="TextBody"/>
        <w:rPr/>
      </w:pPr>
      <w:r>
        <w:rPr/>
        <w:t>Статья 54. Вступление в силу настоящего Федерального закона</w:t>
      </w:r>
    </w:p>
    <w:p>
      <w:pPr>
        <w:pStyle w:val="TextBody"/>
        <w:rPr/>
      </w:pPr>
      <w:r>
        <w:rPr/>
        <w:t>Настоящий Федеральный закон вступает в силу по истечении девяноста дней после дня его официального опубликования.</w:t>
      </w:r>
    </w:p>
    <w:p>
      <w:pPr>
        <w:pStyle w:val="TextBody"/>
        <w:rPr/>
      </w:pPr>
      <w:r>
        <w:rPr/>
        <w:t>Президент</w:t>
      </w:r>
    </w:p>
    <w:p>
      <w:pPr>
        <w:pStyle w:val="TextBody"/>
        <w:rPr/>
      </w:pPr>
      <w:r>
        <w:rPr/>
        <w:t>Российской Федерации</w:t>
      </w:r>
    </w:p>
    <w:p>
      <w:pPr>
        <w:pStyle w:val="TextBody"/>
        <w:rPr/>
      </w:pPr>
      <w:r>
        <w:rPr/>
        <w:t>В.ПУТИН</w:t>
      </w:r>
    </w:p>
    <w:p>
      <w:pPr>
        <w:pStyle w:val="TextBody"/>
        <w:rPr/>
      </w:pPr>
      <w:r>
        <w:rPr/>
        <w:t>Москва, Кремль</w:t>
      </w:r>
    </w:p>
    <w:p>
      <w:pPr>
        <w:pStyle w:val="TextBody"/>
        <w:rPr/>
      </w:pPr>
      <w:r>
        <w:rPr/>
        <w:t>26 июля 2006 года</w:t>
      </w:r>
    </w:p>
    <w:p>
      <w:pPr>
        <w:pStyle w:val="TextBody"/>
        <w:spacing w:before="0" w:after="283"/>
        <w:rPr/>
      </w:pPr>
      <w:r>
        <w:rPr/>
        <w:t>N 135-ФЗ</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Albany">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7"/>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0">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1">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2">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4">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5">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6">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7">
    <w:lvl w:ilvl="0">
      <w:start w:val="9"/>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9">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0">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2">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4">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5">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8">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0">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2">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3">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4">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5">
    <w:lvl w:ilvl="0">
      <w:start w:val="9"/>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6">
    <w:lvl w:ilvl="0">
      <w:start w:val="10"/>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7">
    <w:lvl w:ilvl="0">
      <w:start w:val="1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9">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0">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2">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3">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4">
    <w:lvl w:ilvl="0">
      <w:start w:val="7"/>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5">
    <w:lvl w:ilvl="0">
      <w:start w:val="10"/>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6">
    <w:lvl w:ilvl="0">
      <w:start w:val="1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7">
    <w:lvl w:ilvl="0">
      <w:start w:val="1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9">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0">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2">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3">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5">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6">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7">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8">
    <w:lvl w:ilvl="0">
      <w:start w:val="1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1">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2">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3">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4">
    <w:lvl w:ilvl="0">
      <w:start w:val="8"/>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9">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1">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3">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4">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5">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9">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1">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3">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5">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6">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8">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9">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0">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1">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2">
    <w:lvl w:ilvl="0">
      <w:start w:val="10"/>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4">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5">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6">
    <w:lvl w:ilvl="0">
      <w:start w:val="10"/>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9">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0">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1">
    <w:lvl w:ilvl="0">
      <w:start w:val="9"/>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4">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6">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8">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0">
    <w:lvl w:ilvl="0">
      <w:start w:val="7"/>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2">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4">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9">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0">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1">
    <w:lvl w:ilvl="0">
      <w:start w:val="9"/>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2">
    <w:lvl w:ilvl="0">
      <w:start w:val="10"/>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3">
    <w:lvl w:ilvl="0">
      <w:start w:val="1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5">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6">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7">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8">
    <w:lvl w:ilvl="0">
      <w:start w:val="6"/>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3">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4">
    <w:lvl w:ilvl="0">
      <w:start w:val="4"/>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7">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8">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0">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5">
    <w:lvl w:ilvl="0">
      <w:start w:val="3"/>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6">
    <w:lvl w:ilvl="0">
      <w:start w:val="7"/>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7">
    <w:lvl w:ilvl="0">
      <w:start w:val="9"/>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9">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1">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2">
    <w:lvl w:ilvl="0">
      <w:start w:val="5"/>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3">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