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="008E4E4D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C50A9D">
        <w:rPr>
          <w:rFonts w:eastAsia="Times New Roman"/>
          <w:kern w:val="0"/>
          <w:lang w:eastAsia="ar-SA"/>
        </w:rPr>
        <w:t>декабря</w:t>
      </w:r>
      <w:r w:rsidR="009C3FB2">
        <w:rPr>
          <w:rFonts w:eastAsia="Times New Roman"/>
          <w:kern w:val="0"/>
          <w:lang w:eastAsia="ar-SA"/>
        </w:rPr>
        <w:t>-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8E4E4D">
        <w:rPr>
          <w:rFonts w:eastAsia="Times New Roman"/>
          <w:kern w:val="0"/>
          <w:lang w:eastAsia="ar-SA"/>
        </w:rPr>
        <w:t>---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C50A9D">
        <w:rPr>
          <w:rFonts w:eastAsia="Times New Roman"/>
          <w:kern w:val="0"/>
          <w:lang w:eastAsia="ar-SA"/>
        </w:rPr>
        <w:t xml:space="preserve">              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8E4E4D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proofErr w:type="gramStart"/>
            <w:r w:rsidR="0015432E" w:rsidRPr="0015432E">
              <w:rPr>
                <w:rFonts w:eastAsia="Times New Roman"/>
                <w:kern w:val="0"/>
                <w:lang w:eastAsia="ar-SA"/>
              </w:rPr>
              <w:t>контроле  за</w:t>
            </w:r>
            <w:proofErr w:type="gramEnd"/>
            <w:r w:rsidR="0015432E" w:rsidRPr="0015432E">
              <w:rPr>
                <w:rFonts w:eastAsia="Times New Roman"/>
                <w:kern w:val="0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15432E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15432E">
        <w:rPr>
          <w:rFonts w:eastAsia="Times New Roman"/>
          <w:color w:val="000000"/>
          <w:kern w:val="0"/>
          <w:shd w:val="clear" w:color="auto" w:fill="FFFFFF"/>
        </w:rPr>
        <w:t>2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</w:t>
      </w:r>
      <w:proofErr w:type="gramStart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>контроле  за</w:t>
      </w:r>
      <w:proofErr w:type="gramEnd"/>
      <w:r w:rsidR="0015432E" w:rsidRPr="0015432E">
        <w:rPr>
          <w:rFonts w:eastAsia="Times New Roman"/>
          <w:color w:val="000000"/>
          <w:kern w:val="0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155B0" w:rsidRPr="00BA32AE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9A6BDF" w:rsidRPr="009A6BDF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9A6BDF">
        <w:rPr>
          <w:rFonts w:eastAsia="Times New Roman"/>
          <w:color w:val="000000"/>
          <w:kern w:val="0"/>
          <w:shd w:val="clear" w:color="auto" w:fill="FFFFFF"/>
        </w:rPr>
        <w:t>у</w:t>
      </w:r>
      <w:r w:rsidR="009A6BDF" w:rsidRPr="009A6BDF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9A6BDF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  <w:proofErr w:type="gramEnd"/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A2433" w:rsidRPr="00BA32AE" w:rsidRDefault="00EA243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15432E">
        <w:rPr>
          <w:rFonts w:eastAsia="Times New Roman"/>
          <w:kern w:val="0"/>
          <w:sz w:val="16"/>
          <w:lang w:eastAsia="ar-SA"/>
        </w:rPr>
        <w:t>СМИ-2</w:t>
      </w:r>
    </w:p>
    <w:p w:rsidR="009730E0" w:rsidRPr="0015432E" w:rsidRDefault="009730E0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8E4E4D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8E4E4D">
        <w:rPr>
          <w:rFonts w:ascii="Times New Roman" w:hAnsi="Times New Roman" w:cs="Times New Roman"/>
          <w:sz w:val="24"/>
          <w:szCs w:val="24"/>
        </w:rPr>
        <w:t>---</w:t>
      </w:r>
      <w:r w:rsidR="00C50A9D">
        <w:rPr>
          <w:rFonts w:ascii="Times New Roman" w:hAnsi="Times New Roman" w:cs="Times New Roman"/>
          <w:sz w:val="24"/>
          <w:szCs w:val="24"/>
        </w:rPr>
        <w:t>.12.</w:t>
      </w:r>
      <w:r w:rsidR="00D044C8" w:rsidRPr="00BA32AE">
        <w:rPr>
          <w:rFonts w:ascii="Times New Roman" w:hAnsi="Times New Roman" w:cs="Times New Roman"/>
          <w:sz w:val="24"/>
          <w:szCs w:val="24"/>
        </w:rPr>
        <w:t>202</w:t>
      </w:r>
      <w:r w:rsidR="008E4E4D">
        <w:rPr>
          <w:rFonts w:ascii="Times New Roman" w:hAnsi="Times New Roman" w:cs="Times New Roman"/>
          <w:sz w:val="24"/>
          <w:szCs w:val="24"/>
        </w:rPr>
        <w:t>---</w:t>
      </w:r>
      <w:bookmarkStart w:id="0" w:name="_GoBack"/>
      <w:bookmarkEnd w:id="0"/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15432E" w:rsidRPr="0015432E">
        <w:rPr>
          <w:rFonts w:ascii="Times New Roman" w:hAnsi="Times New Roman" w:cs="Times New Roman"/>
          <w:b/>
          <w:sz w:val="24"/>
          <w:szCs w:val="24"/>
        </w:rPr>
        <w:t>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54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proofErr w:type="gramEnd"/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15432E" w:rsidRPr="0015432E">
              <w:rPr>
                <w:rFonts w:eastAsia="Calibri"/>
                <w:kern w:val="1"/>
                <w:lang w:eastAsia="ar-SA"/>
              </w:rPr>
              <w:t>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15432E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  <w:proofErr w:type="gramEnd"/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5432E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15432E">
              <w:rPr>
                <w:rFonts w:eastAsia="Calibri"/>
                <w:kern w:val="1"/>
                <w:lang w:eastAsia="ar-SA"/>
              </w:rPr>
              <w:t>2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контроле</w:t>
            </w:r>
            <w:r w:rsidR="0015432E" w:rsidRPr="0015432E">
              <w:rPr>
                <w:rFonts w:eastAsia="Calibri"/>
                <w:kern w:val="1"/>
                <w:lang w:eastAsia="ar-SA"/>
              </w:rPr>
              <w:t xml:space="preserve">  за</w:t>
            </w:r>
            <w:proofErr w:type="gramEnd"/>
            <w:r w:rsidR="0015432E" w:rsidRPr="0015432E">
              <w:rPr>
                <w:rFonts w:eastAsia="Calibri"/>
                <w:kern w:val="1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</w:t>
      </w:r>
      <w:r w:rsidR="001076F9" w:rsidRPr="001076F9">
        <w:rPr>
          <w:rFonts w:eastAsia="Times New Roman"/>
          <w:kern w:val="0"/>
        </w:rPr>
        <w:lastRenderedPageBreak/>
        <w:t xml:space="preserve">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В разделе дается описание поддающихся количественной оценке ожидаемых результатов реализации Программы профилактики, включая как непосредственные </w:t>
      </w:r>
      <w:r w:rsidRPr="00DF5A1A">
        <w:rPr>
          <w:rFonts w:eastAsia="Times New Roman"/>
          <w:iCs/>
          <w:kern w:val="0"/>
        </w:rPr>
        <w:lastRenderedPageBreak/>
        <w:t>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15432E">
      <w:headerReference w:type="default" r:id="rId13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A8" w:rsidRDefault="002205A8" w:rsidP="002D1CA5">
      <w:r>
        <w:separator/>
      </w:r>
    </w:p>
  </w:endnote>
  <w:endnote w:type="continuationSeparator" w:id="0">
    <w:p w:rsidR="002205A8" w:rsidRDefault="002205A8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A8" w:rsidRDefault="002205A8" w:rsidP="002D1CA5">
      <w:r>
        <w:separator/>
      </w:r>
    </w:p>
  </w:footnote>
  <w:footnote w:type="continuationSeparator" w:id="0">
    <w:p w:rsidR="002205A8" w:rsidRDefault="002205A8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8E4E4D" w:rsidP="009C3FB2">
    <w:pPr>
      <w:pStyle w:val="af"/>
      <w:jc w:val="right"/>
    </w:pPr>
    <w:r>
      <w:t>проект</w:t>
    </w: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5432E"/>
    <w:rsid w:val="001653AF"/>
    <w:rsid w:val="00197DD4"/>
    <w:rsid w:val="002205A8"/>
    <w:rsid w:val="00231886"/>
    <w:rsid w:val="00242710"/>
    <w:rsid w:val="00254169"/>
    <w:rsid w:val="00277E3D"/>
    <w:rsid w:val="002A449A"/>
    <w:rsid w:val="002D1CA5"/>
    <w:rsid w:val="002E5C69"/>
    <w:rsid w:val="003155B0"/>
    <w:rsid w:val="003E3C83"/>
    <w:rsid w:val="003F2157"/>
    <w:rsid w:val="00405543"/>
    <w:rsid w:val="004432F6"/>
    <w:rsid w:val="00461FA2"/>
    <w:rsid w:val="00466DD2"/>
    <w:rsid w:val="00486EAC"/>
    <w:rsid w:val="004C4379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7077A1"/>
    <w:rsid w:val="008542E6"/>
    <w:rsid w:val="00864F73"/>
    <w:rsid w:val="0088497F"/>
    <w:rsid w:val="00886CDF"/>
    <w:rsid w:val="00892543"/>
    <w:rsid w:val="008C01F7"/>
    <w:rsid w:val="008C3575"/>
    <w:rsid w:val="008E07E1"/>
    <w:rsid w:val="008E4E4D"/>
    <w:rsid w:val="008F119D"/>
    <w:rsid w:val="00961C29"/>
    <w:rsid w:val="009730E0"/>
    <w:rsid w:val="009A6BDF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50A9D"/>
    <w:rsid w:val="00C91936"/>
    <w:rsid w:val="00CA23E6"/>
    <w:rsid w:val="00CC340E"/>
    <w:rsid w:val="00CF74EC"/>
    <w:rsid w:val="00D044C8"/>
    <w:rsid w:val="00D14896"/>
    <w:rsid w:val="00D75C60"/>
    <w:rsid w:val="00DF5A1A"/>
    <w:rsid w:val="00E30466"/>
    <w:rsid w:val="00E802AC"/>
    <w:rsid w:val="00E96F00"/>
    <w:rsid w:val="00EA2433"/>
    <w:rsid w:val="00EC76F3"/>
    <w:rsid w:val="00F5091A"/>
    <w:rsid w:val="00F81D23"/>
    <w:rsid w:val="00FB1189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2B8B-03C6-4E09-AAF3-9F229111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2021-12-03T07:52:00Z</cp:lastPrinted>
  <dcterms:created xsi:type="dcterms:W3CDTF">2022-02-25T13:58:00Z</dcterms:created>
  <dcterms:modified xsi:type="dcterms:W3CDTF">2022-02-25T13:58:00Z</dcterms:modified>
</cp:coreProperties>
</file>