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6C" w:rsidRDefault="008A406C" w:rsidP="008A406C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Приложение 2</w:t>
      </w:r>
    </w:p>
    <w:p w:rsidR="008A406C" w:rsidRDefault="008A406C" w:rsidP="008A406C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8A406C" w:rsidRDefault="008A406C" w:rsidP="008A406C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К постановлению от  29 марта 2019 года    № 91</w:t>
      </w:r>
    </w:p>
    <w:p w:rsidR="008A406C" w:rsidRDefault="008A406C" w:rsidP="008A406C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«Об утверждении отчета о реализации</w:t>
      </w:r>
    </w:p>
    <w:p w:rsidR="008A406C" w:rsidRDefault="008A406C" w:rsidP="008A406C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муниципальных программ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8A406C" w:rsidRDefault="008A406C" w:rsidP="008A406C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Громовское сельское поселение </w:t>
      </w:r>
    </w:p>
    <w:p w:rsidR="008A406C" w:rsidRDefault="008A406C" w:rsidP="008A406C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Приозерский</w:t>
      </w:r>
    </w:p>
    <w:p w:rsidR="008A406C" w:rsidRDefault="008A406C" w:rsidP="008A406C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муниципальный район </w:t>
      </w:r>
      <w:proofErr w:type="gramStart"/>
      <w:r>
        <w:rPr>
          <w:sz w:val="20"/>
          <w:szCs w:val="20"/>
        </w:rPr>
        <w:t>Ленинградской</w:t>
      </w:r>
      <w:proofErr w:type="gramEnd"/>
      <w:r>
        <w:rPr>
          <w:sz w:val="20"/>
          <w:szCs w:val="20"/>
        </w:rPr>
        <w:t xml:space="preserve"> </w:t>
      </w:r>
    </w:p>
    <w:p w:rsidR="008A406C" w:rsidRDefault="008A406C" w:rsidP="008A406C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области за 2018 год»</w:t>
      </w:r>
    </w:p>
    <w:p w:rsidR="00626161" w:rsidRDefault="00626161" w:rsidP="008A40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МУНИЦИПАЛЬНАЯ ПРОГРАММА</w:t>
      </w:r>
    </w:p>
    <w:p w:rsidR="00626161" w:rsidRPr="003833A7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3833A7">
        <w:rPr>
          <w:rFonts w:ascii="Times New Roman" w:hAnsi="Times New Roman" w:cs="Times New Roman"/>
          <w:b/>
        </w:rPr>
        <w:t>«Развитие автомобильных дорог муниципального образования Громовское</w:t>
      </w:r>
      <w:r w:rsidRPr="003833A7">
        <w:rPr>
          <w:rFonts w:ascii="Times New Roman" w:hAnsi="Times New Roman" w:cs="Times New Roman"/>
        </w:rPr>
        <w:t xml:space="preserve"> </w:t>
      </w:r>
      <w:r w:rsidRPr="003833A7">
        <w:rPr>
          <w:rFonts w:ascii="Times New Roman" w:hAnsi="Times New Roman" w:cs="Times New Roman"/>
          <w:b/>
        </w:rPr>
        <w:t>сельское поселение муниципального образования Приозерский муниципальный рай</w:t>
      </w:r>
      <w:r>
        <w:rPr>
          <w:rFonts w:ascii="Times New Roman" w:hAnsi="Times New Roman" w:cs="Times New Roman"/>
          <w:b/>
        </w:rPr>
        <w:t>он Ленинградской области на 2018</w:t>
      </w:r>
      <w:r w:rsidRPr="003833A7">
        <w:rPr>
          <w:rFonts w:ascii="Times New Roman" w:hAnsi="Times New Roman" w:cs="Times New Roman"/>
          <w:b/>
        </w:rPr>
        <w:t xml:space="preserve"> год» </w:t>
      </w:r>
    </w:p>
    <w:p w:rsidR="00626161" w:rsidRPr="003833A7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371"/>
      </w:tblGrid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Муниципальная программа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2018 год»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Федеральный закон от 08.11.2007 г. № 257-ФЗ «Об автомобильных дорогах и о дорожной деятельности в Российской Федерации и о  внесение изменений в отдельные законодательные акты Российской Федерации»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816A47">
              <w:t xml:space="preserve"> </w:t>
            </w:r>
            <w:r w:rsidRPr="00816A47">
              <w:rPr>
                <w:rFonts w:ascii="Times New Roman" w:hAnsi="Times New Roman" w:cs="Times New Roman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Содержание автомобильных дорог  в рамках муниципальной программы «Развитие автомобильных дорог муниципального образования Громовское сельское поселение».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Капитальный ремонт и ремонт автомобильной дорог в рамках муниципальной программы «Развитие автомобильных дорог муниципального образования Громовское сельское поселение». 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Паспортизация автомобильных дорог в рамках муниципальной программы «Развитие автомобильных дорог муниципального образования Громовское сельское поселение». 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Повышение безопасности дорожного движения в рамках муниципальной программы «Развитие автомобильных дорог муниципального образования Громовское сельское поселение». 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Цель программы и задачи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Цели программы: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  сохранение и совершенствование сети автомобильных дорог местного значения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Задачи программы: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  повышение уровня содержания автомобильных дорог местного значения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 снижение доли автомобильных дорог муниципального образования, не соответствующих нормативным требованиям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обеспечение безопасности дорожного движения на территории муниципального образования Громовское сельское поселение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Целевыми индикаторами и показателями Программы являются 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приведение в нормативное состояние автомобильные дороги местного значения и инженерные сооружения на них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Мероприятия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Ремонт и содержание  автомобильных дорог общего пользования местного значения, ремонт дворовых территорий многоквартирных домов, проездов к дворовым территориям муниципального образования Громовское сельское поселение муниципального образования  Приозерский муниципальный район Ленинградской области.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Объем финансовых ресурсов, запланированных </w:t>
            </w:r>
            <w:r w:rsidRPr="00816A47">
              <w:rPr>
                <w:rFonts w:ascii="Times New Roman" w:hAnsi="Times New Roman" w:cs="Times New Roman"/>
              </w:rPr>
              <w:lastRenderedPageBreak/>
              <w:t>по программе с указанием источников финансирования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A47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Общий </w:t>
            </w:r>
            <w:r w:rsidRPr="00816A47">
              <w:rPr>
                <w:rFonts w:ascii="Times New Roman" w:hAnsi="Times New Roman" w:cs="Times New Roman"/>
              </w:rPr>
              <w:t xml:space="preserve">объем финансирования составляет </w:t>
            </w:r>
            <w:r w:rsidR="00A43851">
              <w:rPr>
                <w:rFonts w:ascii="Times New Roman" w:hAnsi="Times New Roman" w:cs="Times New Roman"/>
              </w:rPr>
              <w:t>2968,0</w:t>
            </w:r>
            <w:r w:rsidRPr="00816A47">
              <w:rPr>
                <w:rFonts w:ascii="Times New Roman" w:hAnsi="Times New Roman" w:cs="Times New Roman"/>
              </w:rPr>
              <w:t xml:space="preserve"> тыс. руб. </w:t>
            </w:r>
            <w:r w:rsidRPr="00816A47">
              <w:rPr>
                <w:rFonts w:ascii="Times New Roman" w:hAnsi="Times New Roman" w:cs="Times New Roman"/>
                <w:color w:val="000000"/>
              </w:rPr>
              <w:t>Из  них: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A47">
              <w:rPr>
                <w:rFonts w:ascii="Times New Roman" w:hAnsi="Times New Roman" w:cs="Times New Roman"/>
                <w:color w:val="000000"/>
              </w:rPr>
              <w:t>Бюджет Ленинградской области -870,80 тыс. руб.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A47">
              <w:rPr>
                <w:rFonts w:ascii="Times New Roman" w:hAnsi="Times New Roman" w:cs="Times New Roman"/>
                <w:color w:val="000000"/>
              </w:rPr>
              <w:lastRenderedPageBreak/>
              <w:t>Бюджет муниципального образования –</w:t>
            </w:r>
            <w:r w:rsidR="00A43851">
              <w:rPr>
                <w:rFonts w:ascii="Times New Roman" w:hAnsi="Times New Roman" w:cs="Times New Roman"/>
              </w:rPr>
              <w:t>2097,2</w:t>
            </w:r>
            <w:r w:rsidRPr="00816A47">
              <w:rPr>
                <w:rFonts w:ascii="Times New Roman" w:hAnsi="Times New Roman" w:cs="Times New Roman"/>
              </w:rPr>
              <w:t xml:space="preserve"> </w:t>
            </w:r>
            <w:r w:rsidRPr="00816A47">
              <w:rPr>
                <w:rFonts w:ascii="Times New Roman" w:hAnsi="Times New Roman" w:cs="Times New Roman"/>
                <w:color w:val="000000"/>
              </w:rPr>
              <w:t>тыс.  руб.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lastRenderedPageBreak/>
              <w:t>Исполнители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Администрация муниципального образования Громовское сельское поселение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Система управления и </w:t>
            </w:r>
            <w:proofErr w:type="gramStart"/>
            <w:r w:rsidRPr="00816A4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16A47">
              <w:rPr>
                <w:rFonts w:ascii="Times New Roman" w:hAnsi="Times New Roman" w:cs="Times New Roman"/>
              </w:rPr>
              <w:t xml:space="preserve"> выполнением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Кутузов Алексей Петрович глава администрации  МО Громовское сельское поселение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Фамилия, имя, отчество, должность, номер телефона руководителя представителя 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Кутузов Алексей Петрович – глава администрации  муниципального образования Громовское сельское поселение, тел. 8 813 79 99 443</w:t>
            </w:r>
          </w:p>
        </w:tc>
      </w:tr>
      <w:tr w:rsidR="00626161" w:rsidRPr="00816A47" w:rsidTr="008A406C">
        <w:tc>
          <w:tcPr>
            <w:tcW w:w="2694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7371" w:type="dxa"/>
            <w:shd w:val="clear" w:color="auto" w:fill="auto"/>
          </w:tcPr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Реализация Программы обеспечит: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улучшение потребительских свойств автомобильных дорог и сооружений на них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 xml:space="preserve">- повышение качества дорожных работ, надежности и </w:t>
            </w:r>
            <w:proofErr w:type="gramStart"/>
            <w:r w:rsidRPr="00816A47">
              <w:rPr>
                <w:rFonts w:ascii="Times New Roman" w:hAnsi="Times New Roman" w:cs="Times New Roman"/>
              </w:rPr>
              <w:t>долговечности</w:t>
            </w:r>
            <w:proofErr w:type="gramEnd"/>
            <w:r w:rsidRPr="00816A47">
              <w:rPr>
                <w:rFonts w:ascii="Times New Roman" w:hAnsi="Times New Roman" w:cs="Times New Roman"/>
              </w:rPr>
              <w:t xml:space="preserve"> автомобильных дорог и сооружений на них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сокращение дорожно-транспортных происшествий по причине неудовлетворительных дорожных условий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Показатели социально-экономической эффективности:</w:t>
            </w:r>
          </w:p>
          <w:p w:rsidR="00626161" w:rsidRPr="00816A47" w:rsidRDefault="00626161" w:rsidP="00BE086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6A47">
              <w:rPr>
                <w:rFonts w:ascii="Times New Roman" w:hAnsi="Times New Roman" w:cs="Times New Roman"/>
              </w:rPr>
              <w:t>- создание комфортной среды для проживания населения, положительной воздействие на экономику, социальную сферу и экологическую ситуацию</w:t>
            </w:r>
          </w:p>
        </w:tc>
      </w:tr>
    </w:tbl>
    <w:p w:rsidR="00626161" w:rsidRPr="003833A7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Характеристика муниципального образования Громовское</w:t>
      </w: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сельское поселение и анализ современного состояния дорожной сети и придомовой территории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9922C9">
        <w:rPr>
          <w:rFonts w:ascii="Times New Roman" w:hAnsi="Times New Roman" w:cs="Times New Roman"/>
        </w:rPr>
        <w:t>Муниципального образования Громовское сельское поселение входит в состав муниципального образования Приозерский муниципальный район Ленинградской области, граничит на севере с Ларионовским сельским поселением  и Мельниковским сельским поселением, на востоке с Ладожским озером, на юге с Запорожским сельским поселением и Ромашкинским сельским поселением, на юго-западе с Петровским сельским поселением и, на западе с Плодовским сельским поселением.</w:t>
      </w:r>
      <w:proofErr w:type="gramEnd"/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 xml:space="preserve">            Наиболее актуальными проблемами дорожного хозяйства муниципального образования Громовское сельское поселение являются: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отсутствие усовершенствованного покрытия на дорогах;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неудовлетворительное состояние дорожных покрытий дворовых территорий.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Общая протяженность дорог МО Громовское сельское поселение составляет 139,7 км</w:t>
      </w:r>
      <w:proofErr w:type="gramStart"/>
      <w:r w:rsidRPr="009922C9">
        <w:rPr>
          <w:rFonts w:ascii="Times New Roman" w:hAnsi="Times New Roman" w:cs="Times New Roman"/>
        </w:rPr>
        <w:t>.</w:t>
      </w:r>
      <w:proofErr w:type="gramEnd"/>
      <w:r w:rsidRPr="009922C9">
        <w:rPr>
          <w:rFonts w:ascii="Times New Roman" w:hAnsi="Times New Roman" w:cs="Times New Roman"/>
        </w:rPr>
        <w:t xml:space="preserve"> </w:t>
      </w:r>
      <w:proofErr w:type="gramStart"/>
      <w:r w:rsidRPr="009922C9">
        <w:rPr>
          <w:rFonts w:ascii="Times New Roman" w:hAnsi="Times New Roman" w:cs="Times New Roman"/>
        </w:rPr>
        <w:t>в</w:t>
      </w:r>
      <w:proofErr w:type="gramEnd"/>
      <w:r w:rsidRPr="009922C9">
        <w:rPr>
          <w:rFonts w:ascii="Times New Roman" w:hAnsi="Times New Roman" w:cs="Times New Roman"/>
        </w:rPr>
        <w:t xml:space="preserve"> том числе дорог местного значения 43,2 км.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В неудовлетворительном состоянии (требующем ремонта) находится более 18 км</w:t>
      </w:r>
      <w:proofErr w:type="gramStart"/>
      <w:r w:rsidRPr="009922C9">
        <w:rPr>
          <w:rFonts w:ascii="Times New Roman" w:hAnsi="Times New Roman" w:cs="Times New Roman"/>
        </w:rPr>
        <w:t>.</w:t>
      </w:r>
      <w:proofErr w:type="gramEnd"/>
      <w:r w:rsidRPr="009922C9">
        <w:rPr>
          <w:rFonts w:ascii="Times New Roman" w:hAnsi="Times New Roman" w:cs="Times New Roman"/>
        </w:rPr>
        <w:t xml:space="preserve"> </w:t>
      </w:r>
      <w:proofErr w:type="gramStart"/>
      <w:r w:rsidRPr="009922C9">
        <w:rPr>
          <w:rFonts w:ascii="Times New Roman" w:hAnsi="Times New Roman" w:cs="Times New Roman"/>
        </w:rPr>
        <w:t>и</w:t>
      </w:r>
      <w:proofErr w:type="gramEnd"/>
      <w:r w:rsidRPr="009922C9">
        <w:rPr>
          <w:rFonts w:ascii="Times New Roman" w:hAnsi="Times New Roman" w:cs="Times New Roman"/>
        </w:rPr>
        <w:t>з них к первоначальному ремонту представлены ул.  Строителей  поселок станция Громово.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</w:r>
    </w:p>
    <w:p w:rsidR="00626161" w:rsidRPr="009922C9" w:rsidRDefault="00626161" w:rsidP="00626161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При разработке программы:</w:t>
      </w: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проведен анализ современного состояния дорожной сети в муниципальном образовании Громовское сельское поселение;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сформирован перечень дорог и придомовых территорий, намеченных к ремонту;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определены необходимые объемы работ по улично-дорожной сети и придомовым территориям;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составлены дефектные ведомости по дорогам и придомовой территории, намеченным к ремонту;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определены сроки, объемы и источники финансирования мероприятий Программы.</w:t>
      </w:r>
    </w:p>
    <w:p w:rsidR="00626161" w:rsidRPr="009922C9" w:rsidRDefault="00626161" w:rsidP="008A40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Цели и задачи Программы.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Целями программы является: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повышение эффективности и безопасности функционирования сети дорог и придомовых территорий в муниципальном образовании Громовское сельское поселение;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обеспечение жизненно  важных социально-экономических интересов в муниципальном образовании Громовское сельское поселение;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:rsidR="00626161" w:rsidRPr="009922C9" w:rsidRDefault="00626161" w:rsidP="00626161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Основными задачами программы является: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улучшение транспортно-эксплуатационного состояния существующей дорожной сети  в муниципальном образовании Громовское сельское поселение;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ликвидация очагов аварийности и улучшение инженерного благоустройства дорожной сети в муниципальном образовании Громовское сельское поселение;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- приоритетное направление социально-экономического и транспортного развития муниципального образования Громовское сельское поселение.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9922C9">
        <w:rPr>
          <w:sz w:val="20"/>
          <w:szCs w:val="20"/>
        </w:rPr>
        <w:t>восстановления</w:t>
      </w:r>
      <w:proofErr w:type="gramEnd"/>
      <w:r w:rsidRPr="009922C9">
        <w:rPr>
          <w:sz w:val="20"/>
          <w:szCs w:val="20"/>
        </w:rPr>
        <w:t xml:space="preserve"> первоначальных транспортно-эксплуатационных характеристик и </w:t>
      </w:r>
      <w:r w:rsidRPr="009922C9">
        <w:rPr>
          <w:sz w:val="20"/>
          <w:szCs w:val="20"/>
        </w:rPr>
        <w:lastRenderedPageBreak/>
        <w:t>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 xml:space="preserve">Основные программные мероприятия и механизм </w:t>
      </w: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реализации Программы.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Механизм реализации Программы включает в себя систему комплексных мероприятий.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Реализации Программы предусматривает целевое использование сре</w:t>
      </w:r>
      <w:proofErr w:type="gramStart"/>
      <w:r w:rsidRPr="009922C9">
        <w:rPr>
          <w:sz w:val="20"/>
          <w:szCs w:val="20"/>
        </w:rPr>
        <w:t>дств в с</w:t>
      </w:r>
      <w:proofErr w:type="gramEnd"/>
      <w:r w:rsidRPr="009922C9">
        <w:rPr>
          <w:sz w:val="20"/>
          <w:szCs w:val="20"/>
        </w:rPr>
        <w:t>оответствии с поставленными задачами.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Основными вопросами, подлежащими контролю в процессе реализации Программы, являются: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- эффективное и целевое использование средств бюджета;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 xml:space="preserve">- осуществление </w:t>
      </w:r>
      <w:proofErr w:type="gramStart"/>
      <w:r w:rsidRPr="009922C9">
        <w:rPr>
          <w:sz w:val="20"/>
          <w:szCs w:val="20"/>
        </w:rPr>
        <w:t>контроля за</w:t>
      </w:r>
      <w:proofErr w:type="gramEnd"/>
      <w:r w:rsidRPr="009922C9">
        <w:rPr>
          <w:sz w:val="20"/>
          <w:szCs w:val="20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626161" w:rsidRPr="009922C9" w:rsidRDefault="00626161" w:rsidP="00626161">
      <w:pPr>
        <w:pStyle w:val="ConsNormal"/>
        <w:widowControl/>
        <w:ind w:firstLine="708"/>
        <w:jc w:val="both"/>
      </w:pPr>
      <w:r w:rsidRPr="009922C9">
        <w:rPr>
          <w:rFonts w:ascii="Times New Roman" w:hAnsi="Times New Roman" w:cs="Times New Roman"/>
        </w:rPr>
        <w:t>- гарантийными обязательствами подрядных организаций по поддержанию требуемого состояния объектов.</w:t>
      </w:r>
      <w:r w:rsidRPr="009922C9">
        <w:t xml:space="preserve"> </w:t>
      </w:r>
    </w:p>
    <w:p w:rsidR="00626161" w:rsidRPr="009922C9" w:rsidRDefault="00626161" w:rsidP="00626161">
      <w:pPr>
        <w:pStyle w:val="ConsNormal"/>
        <w:widowControl/>
        <w:ind w:firstLine="0"/>
        <w:jc w:val="both"/>
      </w:pP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Финансирование Программы.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Финансовое обеспечение мероприятий Программы осуществляется за счет средств  бюджета поселения.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 xml:space="preserve">Объем финансирования Программы  за счет  бюджета поселения </w:t>
      </w:r>
      <w:proofErr w:type="gramStart"/>
      <w:r w:rsidRPr="009922C9">
        <w:rPr>
          <w:rFonts w:ascii="Times New Roman" w:hAnsi="Times New Roman" w:cs="Times New Roman"/>
        </w:rPr>
        <w:t>носит прогнозный характер и подлежат</w:t>
      </w:r>
      <w:proofErr w:type="gramEnd"/>
      <w:r w:rsidRPr="009922C9">
        <w:rPr>
          <w:rFonts w:ascii="Times New Roman" w:hAnsi="Times New Roman" w:cs="Times New Roman"/>
        </w:rPr>
        <w:t xml:space="preserve"> уточнению в установленном порядке при формировании и утверждении проекта  бюджета поселения на очередной финансовый год.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>Оценка социально-экономической эффективности программы</w:t>
      </w:r>
    </w:p>
    <w:p w:rsidR="00626161" w:rsidRPr="009922C9" w:rsidRDefault="00626161" w:rsidP="00626161">
      <w:pPr>
        <w:jc w:val="center"/>
        <w:rPr>
          <w:b/>
          <w:sz w:val="20"/>
          <w:szCs w:val="20"/>
        </w:rPr>
      </w:pP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-  развитие и совершенствование автомобильных дорог, улучшение их технического состояния;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- обеспечение безопасности дорожного движения.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За 2018 г. планируется выполнить следующие показатели: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- приведение в нормативное состояние не менее 2087 кв.м. автомобильных дорог;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- увеличение объемов финансовых вложений в развитие автомобильных дорог на территории  муниципального образования Громовское сельское поселение   в расчете на одного жителя ежегодно не менее 1%;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Оценка эффективности реализации Программы осуществляется по критерии финансовых вложений (К</w:t>
      </w:r>
      <w:r w:rsidRPr="009922C9">
        <w:rPr>
          <w:sz w:val="20"/>
          <w:szCs w:val="20"/>
          <w:vertAlign w:val="subscript"/>
        </w:rPr>
        <w:t>фв</w:t>
      </w:r>
      <w:r w:rsidRPr="009922C9">
        <w:rPr>
          <w:sz w:val="20"/>
          <w:szCs w:val="20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Громовское сельское поселение  в расчете на одного жителя: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2808" w:type="dxa"/>
        <w:tblLook w:val="01E0"/>
      </w:tblPr>
      <w:tblGrid>
        <w:gridCol w:w="900"/>
        <w:gridCol w:w="540"/>
        <w:gridCol w:w="236"/>
        <w:gridCol w:w="540"/>
        <w:gridCol w:w="1872"/>
      </w:tblGrid>
      <w:tr w:rsidR="00626161" w:rsidRPr="009922C9" w:rsidTr="00BE0863">
        <w:tc>
          <w:tcPr>
            <w:tcW w:w="900" w:type="dxa"/>
            <w:shd w:val="clear" w:color="auto" w:fill="auto"/>
          </w:tcPr>
          <w:p w:rsidR="00626161" w:rsidRPr="009922C9" w:rsidRDefault="00626161" w:rsidP="00BE0863">
            <w:pPr>
              <w:spacing w:before="120" w:line="360" w:lineRule="auto"/>
              <w:ind w:right="-180"/>
              <w:rPr>
                <w:sz w:val="20"/>
                <w:szCs w:val="20"/>
              </w:rPr>
            </w:pPr>
            <w:proofErr w:type="gramStart"/>
            <w:r w:rsidRPr="009922C9">
              <w:rPr>
                <w:sz w:val="20"/>
                <w:szCs w:val="20"/>
              </w:rPr>
              <w:t>К</w:t>
            </w:r>
            <w:r w:rsidRPr="009922C9">
              <w:rPr>
                <w:sz w:val="20"/>
                <w:szCs w:val="20"/>
                <w:vertAlign w:val="subscript"/>
              </w:rPr>
              <w:t xml:space="preserve">фв </w:t>
            </w:r>
            <w:r w:rsidRPr="009922C9">
              <w:rPr>
                <w:sz w:val="20"/>
                <w:szCs w:val="20"/>
              </w:rPr>
              <w:t>= (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626161" w:rsidRPr="009922C9" w:rsidRDefault="00626161" w:rsidP="00BE0863">
            <w:pPr>
              <w:rPr>
                <w:sz w:val="20"/>
                <w:szCs w:val="20"/>
                <w:vertAlign w:val="subscript"/>
              </w:rPr>
            </w:pPr>
            <w:r w:rsidRPr="009922C9">
              <w:rPr>
                <w:sz w:val="20"/>
                <w:szCs w:val="20"/>
                <w:u w:val="single"/>
              </w:rPr>
              <w:t>О</w:t>
            </w:r>
            <w:proofErr w:type="gramStart"/>
            <w:r w:rsidRPr="009922C9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  <w:p w:rsidR="00626161" w:rsidRPr="009922C9" w:rsidRDefault="00626161" w:rsidP="00BE0863">
            <w:pPr>
              <w:rPr>
                <w:sz w:val="20"/>
                <w:szCs w:val="20"/>
              </w:rPr>
            </w:pPr>
            <w:r w:rsidRPr="009922C9">
              <w:rPr>
                <w:sz w:val="20"/>
                <w:szCs w:val="20"/>
              </w:rPr>
              <w:t>Ч</w:t>
            </w:r>
            <w:proofErr w:type="gramStart"/>
            <w:r w:rsidRPr="009922C9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626161" w:rsidRPr="009922C9" w:rsidRDefault="00626161" w:rsidP="00BE0863">
            <w:pPr>
              <w:spacing w:before="120"/>
              <w:ind w:right="-180" w:hanging="288"/>
              <w:jc w:val="center"/>
              <w:rPr>
                <w:sz w:val="20"/>
                <w:szCs w:val="20"/>
              </w:rPr>
            </w:pPr>
            <w:r w:rsidRPr="009922C9">
              <w:rPr>
                <w:sz w:val="20"/>
                <w:szCs w:val="20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626161" w:rsidRPr="009922C9" w:rsidRDefault="00626161" w:rsidP="00BE0863">
            <w:pPr>
              <w:rPr>
                <w:sz w:val="20"/>
                <w:szCs w:val="20"/>
                <w:vertAlign w:val="subscript"/>
              </w:rPr>
            </w:pPr>
            <w:r w:rsidRPr="009922C9">
              <w:rPr>
                <w:sz w:val="20"/>
                <w:szCs w:val="20"/>
                <w:u w:val="single"/>
              </w:rPr>
              <w:t>О</w:t>
            </w:r>
            <w:proofErr w:type="gramStart"/>
            <w:r w:rsidRPr="009922C9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  <w:p w:rsidR="00626161" w:rsidRPr="009922C9" w:rsidRDefault="00626161" w:rsidP="00BE0863">
            <w:pPr>
              <w:rPr>
                <w:sz w:val="20"/>
                <w:szCs w:val="20"/>
              </w:rPr>
            </w:pPr>
            <w:r w:rsidRPr="009922C9">
              <w:rPr>
                <w:sz w:val="20"/>
                <w:szCs w:val="20"/>
              </w:rPr>
              <w:t>Ч</w:t>
            </w:r>
            <w:proofErr w:type="gramStart"/>
            <w:r w:rsidRPr="009922C9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626161" w:rsidRPr="009922C9" w:rsidRDefault="00626161" w:rsidP="00BE0863">
            <w:pPr>
              <w:spacing w:before="120"/>
              <w:ind w:hanging="108"/>
              <w:rPr>
                <w:sz w:val="20"/>
                <w:szCs w:val="20"/>
              </w:rPr>
            </w:pPr>
            <w:r w:rsidRPr="009922C9">
              <w:rPr>
                <w:sz w:val="20"/>
                <w:szCs w:val="20"/>
              </w:rPr>
              <w:t>) х 100%, где:</w:t>
            </w:r>
          </w:p>
        </w:tc>
      </w:tr>
    </w:tbl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О</w:t>
      </w:r>
      <w:proofErr w:type="gramStart"/>
      <w:r w:rsidRPr="009922C9">
        <w:rPr>
          <w:sz w:val="20"/>
          <w:szCs w:val="20"/>
          <w:vertAlign w:val="subscript"/>
        </w:rPr>
        <w:t>1</w:t>
      </w:r>
      <w:proofErr w:type="gramEnd"/>
      <w:r w:rsidRPr="009922C9">
        <w:rPr>
          <w:sz w:val="20"/>
          <w:szCs w:val="20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О</w:t>
      </w:r>
      <w:proofErr w:type="gramStart"/>
      <w:r w:rsidRPr="009922C9">
        <w:rPr>
          <w:sz w:val="20"/>
          <w:szCs w:val="20"/>
          <w:vertAlign w:val="subscript"/>
        </w:rPr>
        <w:t>2</w:t>
      </w:r>
      <w:proofErr w:type="gramEnd"/>
      <w:r w:rsidRPr="009922C9">
        <w:rPr>
          <w:sz w:val="20"/>
          <w:szCs w:val="20"/>
          <w:vertAlign w:val="subscript"/>
        </w:rPr>
        <w:t xml:space="preserve"> </w:t>
      </w:r>
      <w:r w:rsidRPr="009922C9">
        <w:rPr>
          <w:sz w:val="20"/>
          <w:szCs w:val="20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Ч</w:t>
      </w:r>
      <w:proofErr w:type="gramStart"/>
      <w:r w:rsidRPr="009922C9">
        <w:rPr>
          <w:sz w:val="20"/>
          <w:szCs w:val="20"/>
          <w:vertAlign w:val="subscript"/>
        </w:rPr>
        <w:t>1</w:t>
      </w:r>
      <w:proofErr w:type="gramEnd"/>
      <w:r w:rsidRPr="009922C9">
        <w:rPr>
          <w:sz w:val="20"/>
          <w:szCs w:val="20"/>
          <w:vertAlign w:val="subscript"/>
        </w:rPr>
        <w:t xml:space="preserve"> </w:t>
      </w:r>
      <w:r w:rsidRPr="009922C9">
        <w:rPr>
          <w:sz w:val="20"/>
          <w:szCs w:val="20"/>
        </w:rPr>
        <w:t xml:space="preserve">– численность  жителей муниципального образования   в предыдущем году; 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>Ч</w:t>
      </w:r>
      <w:proofErr w:type="gramStart"/>
      <w:r w:rsidRPr="009922C9">
        <w:rPr>
          <w:sz w:val="20"/>
          <w:szCs w:val="20"/>
          <w:vertAlign w:val="subscript"/>
        </w:rPr>
        <w:t>2</w:t>
      </w:r>
      <w:proofErr w:type="gramEnd"/>
      <w:r w:rsidRPr="009922C9">
        <w:rPr>
          <w:sz w:val="20"/>
          <w:szCs w:val="20"/>
        </w:rPr>
        <w:t xml:space="preserve"> – численность жителей муниципального образования в отчетном  году; </w:t>
      </w:r>
    </w:p>
    <w:p w:rsidR="00626161" w:rsidRPr="009922C9" w:rsidRDefault="00626161" w:rsidP="00626161">
      <w:pPr>
        <w:ind w:firstLine="708"/>
        <w:jc w:val="both"/>
        <w:rPr>
          <w:sz w:val="20"/>
          <w:szCs w:val="20"/>
        </w:rPr>
      </w:pPr>
      <w:r w:rsidRPr="009922C9">
        <w:rPr>
          <w:sz w:val="20"/>
          <w:szCs w:val="20"/>
        </w:rPr>
        <w:t xml:space="preserve">К </w:t>
      </w:r>
      <w:r w:rsidRPr="009922C9">
        <w:rPr>
          <w:sz w:val="20"/>
          <w:szCs w:val="20"/>
          <w:vertAlign w:val="subscript"/>
        </w:rPr>
        <w:t>бл</w:t>
      </w:r>
      <w:r w:rsidRPr="009922C9">
        <w:rPr>
          <w:sz w:val="20"/>
          <w:szCs w:val="20"/>
        </w:rPr>
        <w:t xml:space="preserve"> должен быть не менее 1%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 xml:space="preserve">Механизм управления и </w:t>
      </w:r>
      <w:proofErr w:type="gramStart"/>
      <w:r w:rsidRPr="009922C9">
        <w:rPr>
          <w:rFonts w:ascii="Times New Roman" w:hAnsi="Times New Roman" w:cs="Times New Roman"/>
        </w:rPr>
        <w:t>контроля за</w:t>
      </w:r>
      <w:proofErr w:type="gramEnd"/>
      <w:r w:rsidRPr="009922C9">
        <w:rPr>
          <w:rFonts w:ascii="Times New Roman" w:hAnsi="Times New Roman" w:cs="Times New Roman"/>
        </w:rPr>
        <w:t xml:space="preserve"> реализацией Программы.</w:t>
      </w:r>
    </w:p>
    <w:p w:rsidR="00626161" w:rsidRPr="009922C9" w:rsidRDefault="00626161" w:rsidP="0062616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lastRenderedPageBreak/>
        <w:tab/>
        <w:t>Текущее управление, реализацию Программы, а также подготовку информации и отчетов о выполнении Программы осуществляют администрация муниципального образования Громовское сельское поселение.</w:t>
      </w:r>
    </w:p>
    <w:p w:rsidR="00626161" w:rsidRPr="009922C9" w:rsidRDefault="00626161" w:rsidP="0062616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22C9">
        <w:rPr>
          <w:rFonts w:ascii="Times New Roman" w:hAnsi="Times New Roman" w:cs="Times New Roman"/>
        </w:rPr>
        <w:tab/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:rsidR="00626161" w:rsidRDefault="00626161" w:rsidP="00626161"/>
    <w:p w:rsidR="00E34A21" w:rsidRDefault="00E34A21" w:rsidP="00E34A21">
      <w:pPr>
        <w:contextualSpacing/>
        <w:jc w:val="center"/>
        <w:rPr>
          <w:b/>
          <w:sz w:val="20"/>
          <w:szCs w:val="20"/>
        </w:rPr>
      </w:pPr>
    </w:p>
    <w:p w:rsidR="00E34A21" w:rsidRPr="003833A7" w:rsidRDefault="00E34A21" w:rsidP="00E34A21">
      <w:pPr>
        <w:contextualSpacing/>
        <w:jc w:val="center"/>
        <w:rPr>
          <w:b/>
          <w:sz w:val="20"/>
          <w:szCs w:val="20"/>
        </w:rPr>
      </w:pPr>
      <w:r w:rsidRPr="003833A7">
        <w:rPr>
          <w:b/>
          <w:sz w:val="20"/>
          <w:szCs w:val="20"/>
        </w:rPr>
        <w:t>ПРОГРАММНЫЕ МЕРОПРИЯТИЯ</w:t>
      </w:r>
    </w:p>
    <w:p w:rsidR="00E34A21" w:rsidRPr="003833A7" w:rsidRDefault="00E34A21" w:rsidP="00E34A21">
      <w:pPr>
        <w:contextualSpacing/>
        <w:jc w:val="center"/>
        <w:rPr>
          <w:b/>
          <w:sz w:val="20"/>
          <w:szCs w:val="20"/>
        </w:rPr>
      </w:pPr>
      <w:r w:rsidRPr="003833A7">
        <w:rPr>
          <w:b/>
          <w:sz w:val="20"/>
          <w:szCs w:val="20"/>
        </w:rPr>
        <w:t>К </w:t>
      </w:r>
      <w:bookmarkStart w:id="0" w:name="YANDEX_266"/>
      <w:bookmarkEnd w:id="0"/>
      <w:r w:rsidRPr="003833A7">
        <w:rPr>
          <w:b/>
          <w:sz w:val="20"/>
          <w:szCs w:val="20"/>
        </w:rPr>
        <w:t>  МУНИЦИПАЛЬНОЙ   ПРОГРАММЕ</w:t>
      </w:r>
    </w:p>
    <w:p w:rsidR="00E34A21" w:rsidRPr="003833A7" w:rsidRDefault="00E34A21" w:rsidP="00E34A21">
      <w:pPr>
        <w:pStyle w:val="ConsNormal"/>
        <w:widowControl/>
        <w:tabs>
          <w:tab w:val="left" w:pos="9356"/>
        </w:tabs>
        <w:ind w:left="-142" w:right="850" w:firstLine="0"/>
        <w:jc w:val="center"/>
        <w:rPr>
          <w:rFonts w:ascii="Times New Roman" w:hAnsi="Times New Roman" w:cs="Times New Roman"/>
          <w:b/>
        </w:rPr>
      </w:pPr>
      <w:r w:rsidRPr="003833A7">
        <w:rPr>
          <w:rFonts w:ascii="Times New Roman" w:hAnsi="Times New Roman" w:cs="Times New Roman"/>
          <w:b/>
        </w:rPr>
        <w:t>«Развитие автомобильных дорог муниципального образования Громовское</w:t>
      </w:r>
      <w:r w:rsidRPr="003833A7">
        <w:rPr>
          <w:rFonts w:ascii="Times New Roman" w:hAnsi="Times New Roman" w:cs="Times New Roman"/>
        </w:rPr>
        <w:t xml:space="preserve"> </w:t>
      </w:r>
      <w:r w:rsidRPr="003833A7">
        <w:rPr>
          <w:rFonts w:ascii="Times New Roman" w:hAnsi="Times New Roman" w:cs="Times New Roman"/>
          <w:b/>
        </w:rPr>
        <w:t>сельское поселение муниципального образования Приозерский муниципальный рай</w:t>
      </w:r>
      <w:r>
        <w:rPr>
          <w:rFonts w:ascii="Times New Roman" w:hAnsi="Times New Roman" w:cs="Times New Roman"/>
          <w:b/>
        </w:rPr>
        <w:t>он Ленинградской области на 2018</w:t>
      </w:r>
      <w:r w:rsidRPr="003833A7">
        <w:rPr>
          <w:rFonts w:ascii="Times New Roman" w:hAnsi="Times New Roman" w:cs="Times New Roman"/>
          <w:b/>
        </w:rPr>
        <w:t xml:space="preserve"> год»</w:t>
      </w:r>
    </w:p>
    <w:tbl>
      <w:tblPr>
        <w:tblW w:w="9675" w:type="dxa"/>
        <w:tblCellSpacing w:w="22" w:type="dxa"/>
        <w:tblInd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23"/>
        <w:gridCol w:w="4618"/>
        <w:gridCol w:w="1968"/>
        <w:gridCol w:w="192"/>
        <w:gridCol w:w="89"/>
        <w:gridCol w:w="2085"/>
      </w:tblGrid>
      <w:tr w:rsidR="00E34A21" w:rsidRPr="003833A7" w:rsidTr="00BE0863">
        <w:trPr>
          <w:trHeight w:val="130"/>
          <w:tblCellSpacing w:w="22" w:type="dxa"/>
        </w:trPr>
        <w:tc>
          <w:tcPr>
            <w:tcW w:w="6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№</w:t>
            </w:r>
          </w:p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п</w:t>
            </w:r>
            <w:proofErr w:type="gramStart"/>
            <w:r w:rsidRPr="003833A7">
              <w:rPr>
                <w:sz w:val="20"/>
                <w:szCs w:val="20"/>
              </w:rPr>
              <w:t>.п</w:t>
            </w:r>
            <w:proofErr w:type="gramEnd"/>
          </w:p>
        </w:tc>
        <w:tc>
          <w:tcPr>
            <w:tcW w:w="45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 xml:space="preserve">Затраты на </w:t>
            </w:r>
            <w:r w:rsidRPr="003833A7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3833A7">
              <w:rPr>
                <w:sz w:val="20"/>
                <w:szCs w:val="20"/>
              </w:rPr>
              <w:t xml:space="preserve"> год,</w:t>
            </w:r>
          </w:p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 xml:space="preserve">тыс. руб.  </w:t>
            </w:r>
          </w:p>
        </w:tc>
      </w:tr>
      <w:tr w:rsidR="00E34A21" w:rsidRPr="003833A7" w:rsidTr="00BE0863">
        <w:trPr>
          <w:trHeight w:val="20"/>
          <w:tblCellSpacing w:w="22" w:type="dxa"/>
        </w:trPr>
        <w:tc>
          <w:tcPr>
            <w:tcW w:w="6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center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Местный бюджет</w:t>
            </w:r>
          </w:p>
        </w:tc>
      </w:tr>
      <w:tr w:rsidR="00E34A21" w:rsidRPr="003833A7" w:rsidTr="00BE0863">
        <w:trPr>
          <w:trHeight w:val="396"/>
          <w:tblCellSpacing w:w="22" w:type="dxa"/>
        </w:trPr>
        <w:tc>
          <w:tcPr>
            <w:tcW w:w="95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b/>
                <w:i/>
                <w:sz w:val="20"/>
                <w:szCs w:val="20"/>
              </w:rPr>
            </w:pPr>
            <w:r w:rsidRPr="003833A7">
              <w:rPr>
                <w:b/>
                <w:i/>
                <w:sz w:val="20"/>
                <w:szCs w:val="20"/>
              </w:rPr>
              <w:t>1. Содержание автомобильных дорог  в рамках муниципальной программы «Развитие автомобильных дорог муниципального образования Громовское</w:t>
            </w:r>
            <w:r w:rsidRPr="003833A7">
              <w:rPr>
                <w:sz w:val="20"/>
                <w:szCs w:val="20"/>
              </w:rPr>
              <w:t xml:space="preserve"> </w:t>
            </w:r>
            <w:r w:rsidRPr="003833A7">
              <w:rPr>
                <w:b/>
                <w:i/>
                <w:sz w:val="20"/>
                <w:szCs w:val="20"/>
              </w:rPr>
              <w:t>сельское поселение».</w:t>
            </w:r>
          </w:p>
        </w:tc>
      </w:tr>
      <w:tr w:rsidR="00E34A21" w:rsidRPr="003833A7" w:rsidTr="00BE0863">
        <w:trPr>
          <w:trHeight w:val="408"/>
          <w:tblCellSpacing w:w="22" w:type="dxa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1.1.</w:t>
            </w:r>
          </w:p>
        </w:tc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Снегоочистка специализированной техникой и посыпка песчано – соляной смесью муниципальных дорог</w:t>
            </w:r>
          </w:p>
        </w:tc>
        <w:tc>
          <w:tcPr>
            <w:tcW w:w="2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  <w:r w:rsidRPr="003833A7">
              <w:rPr>
                <w:sz w:val="20"/>
                <w:szCs w:val="20"/>
              </w:rPr>
              <w:t xml:space="preserve"> </w:t>
            </w:r>
          </w:p>
        </w:tc>
      </w:tr>
      <w:tr w:rsidR="00E34A21" w:rsidRPr="003833A7" w:rsidTr="00BE0863">
        <w:trPr>
          <w:trHeight w:val="341"/>
          <w:tblCellSpacing w:w="22" w:type="dxa"/>
        </w:trPr>
        <w:tc>
          <w:tcPr>
            <w:tcW w:w="5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sz w:val="20"/>
                <w:szCs w:val="20"/>
              </w:rPr>
            </w:pPr>
            <w:r w:rsidRPr="003833A7">
              <w:rPr>
                <w:b/>
                <w:i/>
                <w:sz w:val="20"/>
                <w:szCs w:val="20"/>
              </w:rPr>
              <w:t>Итого по разделу 1</w:t>
            </w:r>
          </w:p>
        </w:tc>
        <w:tc>
          <w:tcPr>
            <w:tcW w:w="4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233,2</w:t>
            </w:r>
            <w:r w:rsidRPr="003833A7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34A21" w:rsidRPr="003833A7" w:rsidTr="00BE0863">
        <w:trPr>
          <w:trHeight w:val="774"/>
          <w:tblCellSpacing w:w="22" w:type="dxa"/>
        </w:trPr>
        <w:tc>
          <w:tcPr>
            <w:tcW w:w="958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b/>
                <w:i/>
                <w:sz w:val="20"/>
                <w:szCs w:val="20"/>
              </w:rPr>
            </w:pPr>
            <w:r w:rsidRPr="003833A7">
              <w:rPr>
                <w:b/>
                <w:i/>
                <w:sz w:val="20"/>
                <w:szCs w:val="20"/>
              </w:rPr>
              <w:t>2. Капитальный ремонт и ремонт автомобильной дорог в рамках муниципальной программы «Развитие автомобильных дорог муниципального образования Громовское</w:t>
            </w:r>
            <w:r w:rsidRPr="003833A7">
              <w:rPr>
                <w:sz w:val="20"/>
                <w:szCs w:val="20"/>
              </w:rPr>
              <w:t xml:space="preserve"> </w:t>
            </w:r>
            <w:r w:rsidRPr="003833A7">
              <w:rPr>
                <w:b/>
                <w:i/>
                <w:sz w:val="20"/>
                <w:szCs w:val="20"/>
              </w:rPr>
              <w:t>сельское поселение».</w:t>
            </w:r>
            <w:r w:rsidRPr="003833A7">
              <w:rPr>
                <w:sz w:val="20"/>
                <w:szCs w:val="20"/>
              </w:rPr>
              <w:t xml:space="preserve"> </w:t>
            </w:r>
          </w:p>
        </w:tc>
      </w:tr>
      <w:tr w:rsidR="00E34A21" w:rsidRPr="003833A7" w:rsidTr="00BE0863">
        <w:trPr>
          <w:trHeight w:val="592"/>
          <w:tblCellSpacing w:w="22" w:type="dxa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2.1.</w:t>
            </w:r>
          </w:p>
        </w:tc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B85DF0" w:rsidRDefault="00E34A21" w:rsidP="00BE0863">
            <w:pPr>
              <w:jc w:val="both"/>
              <w:rPr>
                <w:sz w:val="20"/>
                <w:szCs w:val="20"/>
              </w:rPr>
            </w:pPr>
            <w:r w:rsidRPr="00B85DF0">
              <w:rPr>
                <w:i/>
                <w:sz w:val="20"/>
                <w:szCs w:val="20"/>
              </w:rPr>
              <w:t>Ремонт асфальтобетонного покрытия от д. №8 до д.№1 по ул</w:t>
            </w:r>
            <w:proofErr w:type="gramStart"/>
            <w:r w:rsidRPr="00B85DF0">
              <w:rPr>
                <w:i/>
                <w:sz w:val="20"/>
                <w:szCs w:val="20"/>
              </w:rPr>
              <w:t>.С</w:t>
            </w:r>
            <w:proofErr w:type="gramEnd"/>
            <w:r w:rsidRPr="00B85DF0">
              <w:rPr>
                <w:i/>
                <w:sz w:val="20"/>
                <w:szCs w:val="20"/>
              </w:rPr>
              <w:t>троителей в п.ст. Громово Приозерского района Ленинградской области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1749,0</w:t>
            </w:r>
          </w:p>
        </w:tc>
        <w:tc>
          <w:tcPr>
            <w:tcW w:w="23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870,8</w:t>
            </w:r>
          </w:p>
        </w:tc>
      </w:tr>
      <w:tr w:rsidR="00E34A21" w:rsidRPr="003833A7" w:rsidTr="00BE0863">
        <w:trPr>
          <w:trHeight w:val="619"/>
          <w:tblCellSpacing w:w="22" w:type="dxa"/>
        </w:trPr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sz w:val="20"/>
                <w:szCs w:val="20"/>
              </w:rPr>
            </w:pPr>
            <w:r w:rsidRPr="003833A7">
              <w:rPr>
                <w:sz w:val="20"/>
                <w:szCs w:val="20"/>
              </w:rPr>
              <w:t>2.2.</w:t>
            </w:r>
          </w:p>
        </w:tc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C91D26" w:rsidRDefault="00E34A21" w:rsidP="00BE0863">
            <w:pPr>
              <w:jc w:val="both"/>
              <w:rPr>
                <w:sz w:val="20"/>
                <w:szCs w:val="20"/>
              </w:rPr>
            </w:pPr>
            <w:r w:rsidRPr="00C91D26">
              <w:rPr>
                <w:i/>
                <w:sz w:val="20"/>
                <w:szCs w:val="20"/>
              </w:rPr>
              <w:t>Корректировка сметной документации с заключением экспертизы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E34A21" w:rsidRPr="003833A7" w:rsidTr="00BE0863">
        <w:trPr>
          <w:trHeight w:val="155"/>
          <w:tblCellSpacing w:w="22" w:type="dxa"/>
        </w:trPr>
        <w:tc>
          <w:tcPr>
            <w:tcW w:w="5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b/>
                <w:i/>
                <w:sz w:val="20"/>
                <w:szCs w:val="20"/>
              </w:rPr>
            </w:pPr>
            <w:r w:rsidRPr="003833A7">
              <w:rPr>
                <w:b/>
                <w:i/>
                <w:sz w:val="20"/>
                <w:szCs w:val="20"/>
              </w:rPr>
              <w:t>Итого по разделу № 2</w:t>
            </w:r>
          </w:p>
        </w:tc>
        <w:tc>
          <w:tcPr>
            <w:tcW w:w="4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2734,8</w:t>
            </w:r>
          </w:p>
        </w:tc>
      </w:tr>
      <w:tr w:rsidR="00E34A21" w:rsidRPr="003833A7" w:rsidTr="00BE0863">
        <w:trPr>
          <w:trHeight w:val="156"/>
          <w:tblCellSpacing w:w="22" w:type="dxa"/>
        </w:trPr>
        <w:tc>
          <w:tcPr>
            <w:tcW w:w="5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both"/>
              <w:rPr>
                <w:b/>
                <w:i/>
                <w:sz w:val="20"/>
                <w:szCs w:val="20"/>
              </w:rPr>
            </w:pPr>
            <w:r w:rsidRPr="003833A7">
              <w:rPr>
                <w:b/>
                <w:i/>
                <w:sz w:val="20"/>
                <w:szCs w:val="20"/>
              </w:rPr>
              <w:t>Итого по Программе</w:t>
            </w:r>
          </w:p>
        </w:tc>
        <w:tc>
          <w:tcPr>
            <w:tcW w:w="4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4A21" w:rsidRPr="003833A7" w:rsidRDefault="00E34A21" w:rsidP="00BE086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2968,0</w:t>
            </w:r>
          </w:p>
        </w:tc>
      </w:tr>
    </w:tbl>
    <w:p w:rsidR="00E34A21" w:rsidRDefault="00E34A21" w:rsidP="00E34A21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E34A21" w:rsidRPr="00720888" w:rsidRDefault="00E34A21" w:rsidP="00E34A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20888">
        <w:rPr>
          <w:sz w:val="20"/>
          <w:szCs w:val="20"/>
        </w:rPr>
        <w:t>Информация</w:t>
      </w:r>
    </w:p>
    <w:p w:rsidR="00E34A21" w:rsidRPr="00720888" w:rsidRDefault="00E34A21" w:rsidP="00E34A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20888">
        <w:rPr>
          <w:sz w:val="20"/>
          <w:szCs w:val="20"/>
        </w:rPr>
        <w:t xml:space="preserve">о ходе реализации муниципальной программы </w:t>
      </w:r>
    </w:p>
    <w:p w:rsidR="00E34A21" w:rsidRPr="00720888" w:rsidRDefault="00E34A21" w:rsidP="00E34A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20888">
        <w:rPr>
          <w:sz w:val="20"/>
          <w:szCs w:val="20"/>
        </w:rPr>
        <w:t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</w:t>
      </w:r>
      <w:r>
        <w:rPr>
          <w:sz w:val="20"/>
          <w:szCs w:val="20"/>
        </w:rPr>
        <w:t>8</w:t>
      </w:r>
      <w:r w:rsidRPr="00720888">
        <w:rPr>
          <w:sz w:val="20"/>
          <w:szCs w:val="20"/>
        </w:rPr>
        <w:t xml:space="preserve"> год»</w:t>
      </w:r>
    </w:p>
    <w:p w:rsidR="00E34A21" w:rsidRPr="00720888" w:rsidRDefault="00E34A21" w:rsidP="00E34A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20888">
        <w:rPr>
          <w:sz w:val="20"/>
          <w:szCs w:val="20"/>
        </w:rPr>
        <w:t>Финансирование мероприятий муниципальной программы</w:t>
      </w:r>
    </w:p>
    <w:p w:rsidR="00E34A21" w:rsidRPr="00720888" w:rsidRDefault="00E34A21" w:rsidP="00E34A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34A21" w:rsidRPr="00720888" w:rsidRDefault="00E34A21" w:rsidP="00E34A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720888">
        <w:rPr>
          <w:rFonts w:ascii="Times New Roman" w:hAnsi="Times New Roman"/>
          <w:sz w:val="20"/>
          <w:szCs w:val="20"/>
        </w:rPr>
        <w:t>Выполнение плана мероприятий</w:t>
      </w:r>
    </w:p>
    <w:p w:rsidR="00E34A21" w:rsidRPr="00720888" w:rsidRDefault="00E34A21" w:rsidP="00E34A2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34A21" w:rsidRPr="00720888" w:rsidRDefault="00E34A21" w:rsidP="00E34A2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20888">
        <w:rPr>
          <w:sz w:val="20"/>
          <w:szCs w:val="20"/>
        </w:rPr>
        <w:t>за период  201</w:t>
      </w:r>
      <w:r>
        <w:rPr>
          <w:sz w:val="20"/>
          <w:szCs w:val="20"/>
        </w:rPr>
        <w:t>8</w:t>
      </w:r>
      <w:r w:rsidRPr="00720888">
        <w:rPr>
          <w:sz w:val="20"/>
          <w:szCs w:val="20"/>
        </w:rPr>
        <w:t xml:space="preserve"> г. </w:t>
      </w:r>
    </w:p>
    <w:p w:rsidR="00E34A21" w:rsidRDefault="00E34A21" w:rsidP="00E34A2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E34A21" w:rsidRPr="003833A7" w:rsidRDefault="00E34A21" w:rsidP="00E34A2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tbl>
      <w:tblPr>
        <w:tblW w:w="112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411"/>
        <w:gridCol w:w="1134"/>
        <w:gridCol w:w="1134"/>
        <w:gridCol w:w="992"/>
        <w:gridCol w:w="852"/>
        <w:gridCol w:w="850"/>
        <w:gridCol w:w="849"/>
        <w:gridCol w:w="849"/>
        <w:gridCol w:w="1294"/>
      </w:tblGrid>
      <w:tr w:rsidR="00E34A21" w:rsidRPr="0092112D" w:rsidTr="00BE0863">
        <w:trPr>
          <w:gridAfter w:val="1"/>
          <w:wAfter w:w="1294" w:type="dxa"/>
          <w:trHeight w:val="16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lastRenderedPageBreak/>
              <w:t>№ строки</w:t>
            </w:r>
          </w:p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E34A21" w:rsidRPr="0092112D" w:rsidTr="00BE0863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4A21" w:rsidRPr="0092112D" w:rsidTr="00BE0863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4" w:type="dxa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4A21" w:rsidRPr="0092112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E34A21" w:rsidRPr="0092112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rPr>
                <w:sz w:val="20"/>
                <w:szCs w:val="20"/>
              </w:rPr>
            </w:pPr>
            <w:r w:rsidRPr="0092112D">
              <w:rPr>
                <w:b/>
                <w:i/>
                <w:sz w:val="20"/>
                <w:szCs w:val="20"/>
              </w:rPr>
              <w:t>Содержание автомобильных дорог  в рамках муниципальной программы «Развитие автомобильных дорог муниципального образования Громовское</w:t>
            </w:r>
            <w:r w:rsidRPr="0092112D">
              <w:rPr>
                <w:sz w:val="20"/>
                <w:szCs w:val="20"/>
              </w:rPr>
              <w:t xml:space="preserve"> </w:t>
            </w:r>
            <w:r w:rsidRPr="0092112D">
              <w:rPr>
                <w:b/>
                <w:i/>
                <w:sz w:val="20"/>
                <w:szCs w:val="20"/>
              </w:rPr>
              <w:t>сельское поселение».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82,37</w:t>
            </w:r>
            <w:r w:rsidRPr="0092112D">
              <w:rPr>
                <w:sz w:val="20"/>
                <w:szCs w:val="20"/>
              </w:rPr>
              <w:t>%</w:t>
            </w:r>
          </w:p>
        </w:tc>
      </w:tr>
      <w:tr w:rsidR="00E34A21" w:rsidRPr="0092112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rPr>
                <w:sz w:val="20"/>
                <w:szCs w:val="20"/>
              </w:rPr>
            </w:pPr>
            <w:r w:rsidRPr="0092112D">
              <w:rPr>
                <w:sz w:val="20"/>
                <w:szCs w:val="20"/>
              </w:rPr>
              <w:t>Снегоочистка специализированной техникой и посыпка песчано – соляной смесью муниципальных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720888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82,37</w:t>
            </w:r>
            <w:r w:rsidRPr="0092112D">
              <w:rPr>
                <w:sz w:val="20"/>
                <w:szCs w:val="20"/>
              </w:rPr>
              <w:t>%</w:t>
            </w:r>
          </w:p>
        </w:tc>
      </w:tr>
      <w:tr w:rsidR="00E34A21" w:rsidRPr="0092112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12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rPr>
                <w:sz w:val="20"/>
                <w:szCs w:val="20"/>
              </w:rPr>
            </w:pPr>
            <w:r w:rsidRPr="0092112D">
              <w:rPr>
                <w:b/>
                <w:i/>
                <w:sz w:val="20"/>
                <w:szCs w:val="20"/>
              </w:rPr>
              <w:t>Капитальный ремонт и ремонт автомобильной дорог в рамках муниципальной программы «Развитие автомобильных дорог муниципального образования Громовское</w:t>
            </w:r>
            <w:r w:rsidRPr="0092112D">
              <w:rPr>
                <w:sz w:val="20"/>
                <w:szCs w:val="20"/>
              </w:rPr>
              <w:t xml:space="preserve"> </w:t>
            </w:r>
            <w:r w:rsidRPr="0092112D">
              <w:rPr>
                <w:b/>
                <w:i/>
                <w:sz w:val="20"/>
                <w:szCs w:val="20"/>
              </w:rPr>
              <w:t>сельское поселение».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92112D">
              <w:rPr>
                <w:sz w:val="20"/>
                <w:szCs w:val="20"/>
              </w:rPr>
              <w:t>%</w:t>
            </w:r>
          </w:p>
        </w:tc>
      </w:tr>
      <w:tr w:rsidR="00E34A21" w:rsidRPr="0092112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both"/>
              <w:rPr>
                <w:sz w:val="20"/>
                <w:szCs w:val="20"/>
              </w:rPr>
            </w:pPr>
            <w:r w:rsidRPr="00C91D26">
              <w:rPr>
                <w:sz w:val="20"/>
                <w:szCs w:val="20"/>
              </w:rPr>
              <w:t>Ремонт асфальтобетонного покрытия от д. №8 до д.№1 по ул</w:t>
            </w:r>
            <w:proofErr w:type="gramStart"/>
            <w:r w:rsidRPr="00C91D26">
              <w:rPr>
                <w:sz w:val="20"/>
                <w:szCs w:val="20"/>
              </w:rPr>
              <w:t>.С</w:t>
            </w:r>
            <w:proofErr w:type="gramEnd"/>
            <w:r w:rsidRPr="00C91D26">
              <w:rPr>
                <w:sz w:val="20"/>
                <w:szCs w:val="20"/>
              </w:rPr>
              <w:t>троителей в п.ст. Громово Приозерского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 w:rsidRPr="0092112D">
              <w:rPr>
                <w:sz w:val="20"/>
                <w:szCs w:val="20"/>
              </w:rPr>
              <w:t>100%</w:t>
            </w:r>
          </w:p>
        </w:tc>
      </w:tr>
      <w:tr w:rsidR="00E34A21" w:rsidRPr="0092112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1" w:rsidRPr="00C91D26" w:rsidRDefault="00E34A21" w:rsidP="00BE0863">
            <w:pPr>
              <w:jc w:val="both"/>
              <w:rPr>
                <w:sz w:val="20"/>
                <w:szCs w:val="20"/>
              </w:rPr>
            </w:pPr>
            <w:r w:rsidRPr="00C91D26">
              <w:rPr>
                <w:sz w:val="20"/>
                <w:szCs w:val="20"/>
              </w:rPr>
              <w:t>Корректировка сметной документации с заключением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1" w:rsidRPr="0092112D" w:rsidRDefault="00E34A21" w:rsidP="00BE0863">
            <w:pPr>
              <w:jc w:val="center"/>
              <w:rPr>
                <w:sz w:val="20"/>
                <w:szCs w:val="20"/>
              </w:rPr>
            </w:pPr>
            <w:r w:rsidRPr="0092112D">
              <w:rPr>
                <w:sz w:val="20"/>
                <w:szCs w:val="20"/>
              </w:rPr>
              <w:t>100%</w:t>
            </w:r>
          </w:p>
        </w:tc>
      </w:tr>
    </w:tbl>
    <w:p w:rsidR="00E34A21" w:rsidRPr="003833A7" w:rsidRDefault="00E34A21" w:rsidP="00E34A21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E34A21" w:rsidRPr="00E62167" w:rsidRDefault="00E34A21" w:rsidP="00E34A21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  <w:r w:rsidRPr="00E62167">
        <w:rPr>
          <w:sz w:val="20"/>
          <w:szCs w:val="20"/>
        </w:rPr>
        <w:t>Оценка эффективности реализации Программы осуществляется по критерии финансовых вложений (К</w:t>
      </w:r>
      <w:r w:rsidRPr="00E62167">
        <w:rPr>
          <w:sz w:val="20"/>
          <w:szCs w:val="20"/>
          <w:vertAlign w:val="subscript"/>
        </w:rPr>
        <w:t>фв</w:t>
      </w:r>
      <w:r w:rsidRPr="00E62167">
        <w:rPr>
          <w:sz w:val="20"/>
          <w:szCs w:val="20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Громовское сельское поселение  в расчете на одного жителя:</w:t>
      </w: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tblpX="2808" w:tblpY="1"/>
        <w:tblOverlap w:val="never"/>
        <w:tblW w:w="0" w:type="auto"/>
        <w:tblLook w:val="01E0"/>
      </w:tblPr>
      <w:tblGrid>
        <w:gridCol w:w="900"/>
        <w:gridCol w:w="540"/>
        <w:gridCol w:w="236"/>
        <w:gridCol w:w="540"/>
        <w:gridCol w:w="1872"/>
      </w:tblGrid>
      <w:tr w:rsidR="00E34A21" w:rsidRPr="00E62167" w:rsidTr="00BE0863">
        <w:tc>
          <w:tcPr>
            <w:tcW w:w="900" w:type="dxa"/>
            <w:shd w:val="clear" w:color="auto" w:fill="auto"/>
          </w:tcPr>
          <w:p w:rsidR="00E34A21" w:rsidRPr="00E62167" w:rsidRDefault="00E34A21" w:rsidP="00BE0863">
            <w:pPr>
              <w:spacing w:before="120" w:line="360" w:lineRule="auto"/>
              <w:ind w:right="-180"/>
              <w:rPr>
                <w:sz w:val="20"/>
                <w:szCs w:val="20"/>
              </w:rPr>
            </w:pPr>
            <w:proofErr w:type="gramStart"/>
            <w:r w:rsidRPr="00E62167">
              <w:rPr>
                <w:sz w:val="20"/>
                <w:szCs w:val="20"/>
              </w:rPr>
              <w:t>К</w:t>
            </w:r>
            <w:r w:rsidRPr="00E62167">
              <w:rPr>
                <w:sz w:val="20"/>
                <w:szCs w:val="20"/>
                <w:vertAlign w:val="subscript"/>
              </w:rPr>
              <w:t xml:space="preserve">фв </w:t>
            </w:r>
            <w:r w:rsidRPr="00E62167">
              <w:rPr>
                <w:sz w:val="20"/>
                <w:szCs w:val="20"/>
              </w:rPr>
              <w:t>= (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E34A21" w:rsidRPr="00E62167" w:rsidRDefault="00E34A21" w:rsidP="00BE0863">
            <w:pPr>
              <w:rPr>
                <w:sz w:val="20"/>
                <w:szCs w:val="20"/>
                <w:vertAlign w:val="subscript"/>
              </w:rPr>
            </w:pPr>
            <w:r w:rsidRPr="00E62167">
              <w:rPr>
                <w:sz w:val="20"/>
                <w:szCs w:val="20"/>
                <w:u w:val="single"/>
              </w:rPr>
              <w:t>О</w:t>
            </w:r>
            <w:proofErr w:type="gramStart"/>
            <w:r w:rsidRPr="00E62167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  <w:p w:rsidR="00E34A21" w:rsidRPr="00E62167" w:rsidRDefault="00E34A21" w:rsidP="00BE0863">
            <w:pPr>
              <w:rPr>
                <w:sz w:val="20"/>
                <w:szCs w:val="20"/>
              </w:rPr>
            </w:pPr>
            <w:r w:rsidRPr="00E62167">
              <w:rPr>
                <w:sz w:val="20"/>
                <w:szCs w:val="20"/>
              </w:rPr>
              <w:t>Ч</w:t>
            </w:r>
            <w:proofErr w:type="gramStart"/>
            <w:r w:rsidRPr="00E62167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E34A21" w:rsidRPr="00E62167" w:rsidRDefault="00E34A21" w:rsidP="00BE0863">
            <w:pPr>
              <w:spacing w:before="120"/>
              <w:ind w:right="-180" w:hanging="288"/>
              <w:jc w:val="center"/>
              <w:rPr>
                <w:sz w:val="20"/>
                <w:szCs w:val="20"/>
              </w:rPr>
            </w:pPr>
            <w:r w:rsidRPr="00E62167">
              <w:rPr>
                <w:sz w:val="20"/>
                <w:szCs w:val="20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E34A21" w:rsidRPr="00E62167" w:rsidRDefault="00E34A21" w:rsidP="00BE0863">
            <w:pPr>
              <w:rPr>
                <w:sz w:val="20"/>
                <w:szCs w:val="20"/>
                <w:vertAlign w:val="subscript"/>
              </w:rPr>
            </w:pPr>
            <w:r w:rsidRPr="00E62167">
              <w:rPr>
                <w:sz w:val="20"/>
                <w:szCs w:val="20"/>
                <w:u w:val="single"/>
              </w:rPr>
              <w:t>О</w:t>
            </w:r>
            <w:proofErr w:type="gramStart"/>
            <w:r w:rsidRPr="00E62167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  <w:p w:rsidR="00E34A21" w:rsidRPr="00E62167" w:rsidRDefault="00E34A21" w:rsidP="00BE0863">
            <w:pPr>
              <w:rPr>
                <w:sz w:val="20"/>
                <w:szCs w:val="20"/>
              </w:rPr>
            </w:pPr>
            <w:r w:rsidRPr="00E62167">
              <w:rPr>
                <w:sz w:val="20"/>
                <w:szCs w:val="20"/>
              </w:rPr>
              <w:t>Ч</w:t>
            </w:r>
            <w:proofErr w:type="gramStart"/>
            <w:r w:rsidRPr="00E62167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E34A21" w:rsidRPr="00E62167" w:rsidRDefault="00E34A21" w:rsidP="00BE0863">
            <w:pPr>
              <w:spacing w:before="120"/>
              <w:ind w:hanging="108"/>
              <w:rPr>
                <w:sz w:val="20"/>
                <w:szCs w:val="20"/>
              </w:rPr>
            </w:pPr>
            <w:r w:rsidRPr="00E62167">
              <w:rPr>
                <w:sz w:val="20"/>
                <w:szCs w:val="20"/>
              </w:rPr>
              <w:t>) х 100%, где:</w:t>
            </w:r>
          </w:p>
        </w:tc>
      </w:tr>
    </w:tbl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  <w:r w:rsidRPr="00E62167">
        <w:rPr>
          <w:sz w:val="20"/>
          <w:szCs w:val="20"/>
        </w:rPr>
        <w:t>О</w:t>
      </w:r>
      <w:proofErr w:type="gramStart"/>
      <w:r w:rsidRPr="00E62167">
        <w:rPr>
          <w:sz w:val="20"/>
          <w:szCs w:val="20"/>
          <w:vertAlign w:val="subscript"/>
        </w:rPr>
        <w:t>1</w:t>
      </w:r>
      <w:proofErr w:type="gramEnd"/>
      <w:r w:rsidRPr="00E62167">
        <w:rPr>
          <w:sz w:val="20"/>
          <w:szCs w:val="20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  <w:r w:rsidRPr="00E62167">
        <w:rPr>
          <w:sz w:val="20"/>
          <w:szCs w:val="20"/>
        </w:rPr>
        <w:t>О</w:t>
      </w:r>
      <w:proofErr w:type="gramStart"/>
      <w:r w:rsidRPr="00E62167">
        <w:rPr>
          <w:sz w:val="20"/>
          <w:szCs w:val="20"/>
          <w:vertAlign w:val="subscript"/>
        </w:rPr>
        <w:t>2</w:t>
      </w:r>
      <w:proofErr w:type="gramEnd"/>
      <w:r w:rsidRPr="00E62167">
        <w:rPr>
          <w:sz w:val="20"/>
          <w:szCs w:val="20"/>
          <w:vertAlign w:val="subscript"/>
        </w:rPr>
        <w:t xml:space="preserve"> </w:t>
      </w:r>
      <w:r w:rsidRPr="00E62167">
        <w:rPr>
          <w:sz w:val="20"/>
          <w:szCs w:val="20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  <w:r w:rsidRPr="00E62167">
        <w:rPr>
          <w:sz w:val="20"/>
          <w:szCs w:val="20"/>
        </w:rPr>
        <w:t>Ч</w:t>
      </w:r>
      <w:proofErr w:type="gramStart"/>
      <w:r w:rsidRPr="00E62167">
        <w:rPr>
          <w:sz w:val="20"/>
          <w:szCs w:val="20"/>
          <w:vertAlign w:val="subscript"/>
        </w:rPr>
        <w:t>1</w:t>
      </w:r>
      <w:proofErr w:type="gramEnd"/>
      <w:r w:rsidRPr="00E62167">
        <w:rPr>
          <w:sz w:val="20"/>
          <w:szCs w:val="20"/>
          <w:vertAlign w:val="subscript"/>
        </w:rPr>
        <w:t xml:space="preserve"> </w:t>
      </w:r>
      <w:r w:rsidRPr="00E62167">
        <w:rPr>
          <w:sz w:val="20"/>
          <w:szCs w:val="20"/>
        </w:rPr>
        <w:t xml:space="preserve">– численность  жителей муниципального образования   в предыдущем году; </w:t>
      </w: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  <w:r w:rsidRPr="00E62167">
        <w:rPr>
          <w:sz w:val="20"/>
          <w:szCs w:val="20"/>
        </w:rPr>
        <w:t>Ч</w:t>
      </w:r>
      <w:proofErr w:type="gramStart"/>
      <w:r w:rsidRPr="00E62167">
        <w:rPr>
          <w:sz w:val="20"/>
          <w:szCs w:val="20"/>
          <w:vertAlign w:val="subscript"/>
        </w:rPr>
        <w:t>2</w:t>
      </w:r>
      <w:proofErr w:type="gramEnd"/>
      <w:r w:rsidRPr="00E62167">
        <w:rPr>
          <w:sz w:val="20"/>
          <w:szCs w:val="20"/>
        </w:rPr>
        <w:t xml:space="preserve"> – численность жителей муниципального образования в отчетном  году; </w:t>
      </w:r>
    </w:p>
    <w:p w:rsidR="00E34A21" w:rsidRPr="00E62167" w:rsidRDefault="00E34A21" w:rsidP="00E34A21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2808" w:type="dxa"/>
        <w:tblLook w:val="01E0"/>
      </w:tblPr>
      <w:tblGrid>
        <w:gridCol w:w="900"/>
        <w:gridCol w:w="766"/>
        <w:gridCol w:w="236"/>
        <w:gridCol w:w="966"/>
        <w:gridCol w:w="1872"/>
      </w:tblGrid>
      <w:tr w:rsidR="00E34A21" w:rsidRPr="00E62167" w:rsidTr="00BE0863">
        <w:tc>
          <w:tcPr>
            <w:tcW w:w="900" w:type="dxa"/>
            <w:shd w:val="clear" w:color="auto" w:fill="auto"/>
          </w:tcPr>
          <w:p w:rsidR="00E34A21" w:rsidRPr="00E62167" w:rsidRDefault="00E34A21" w:rsidP="00BE0863">
            <w:pPr>
              <w:spacing w:before="120" w:line="360" w:lineRule="auto"/>
              <w:ind w:right="-180"/>
              <w:rPr>
                <w:sz w:val="20"/>
                <w:szCs w:val="20"/>
              </w:rPr>
            </w:pPr>
            <w:proofErr w:type="gramStart"/>
            <w:r w:rsidRPr="00E62167">
              <w:rPr>
                <w:sz w:val="20"/>
                <w:szCs w:val="20"/>
              </w:rPr>
              <w:t>К</w:t>
            </w:r>
            <w:r w:rsidRPr="00E62167">
              <w:rPr>
                <w:sz w:val="20"/>
                <w:szCs w:val="20"/>
                <w:vertAlign w:val="subscript"/>
              </w:rPr>
              <w:t xml:space="preserve">фв </w:t>
            </w:r>
            <w:r w:rsidRPr="00E62167">
              <w:rPr>
                <w:sz w:val="20"/>
                <w:szCs w:val="20"/>
              </w:rPr>
              <w:t>= (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E34A21" w:rsidRPr="00E62167" w:rsidRDefault="00E34A21" w:rsidP="00BE086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2968,0</w:t>
            </w:r>
          </w:p>
          <w:p w:rsidR="00E34A21" w:rsidRPr="00E62167" w:rsidRDefault="00E34A21" w:rsidP="00BE0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</w:t>
            </w:r>
          </w:p>
        </w:tc>
        <w:tc>
          <w:tcPr>
            <w:tcW w:w="236" w:type="dxa"/>
            <w:shd w:val="clear" w:color="auto" w:fill="auto"/>
          </w:tcPr>
          <w:p w:rsidR="00E34A21" w:rsidRPr="00E62167" w:rsidRDefault="00E34A21" w:rsidP="00BE0863">
            <w:pPr>
              <w:spacing w:before="120"/>
              <w:ind w:right="-180" w:hanging="288"/>
              <w:jc w:val="center"/>
              <w:rPr>
                <w:sz w:val="20"/>
                <w:szCs w:val="20"/>
              </w:rPr>
            </w:pPr>
            <w:r w:rsidRPr="00E62167">
              <w:rPr>
                <w:sz w:val="20"/>
                <w:szCs w:val="20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E34A21" w:rsidRPr="00E62167" w:rsidRDefault="00E34A21" w:rsidP="00BE0863">
            <w:pPr>
              <w:rPr>
                <w:sz w:val="20"/>
                <w:szCs w:val="20"/>
                <w:u w:val="single"/>
              </w:rPr>
            </w:pPr>
            <w:r w:rsidRPr="00E62167">
              <w:rPr>
                <w:sz w:val="20"/>
                <w:szCs w:val="20"/>
                <w:u w:val="single"/>
              </w:rPr>
              <w:t>2125,206</w:t>
            </w:r>
          </w:p>
          <w:p w:rsidR="00E34A21" w:rsidRPr="00E62167" w:rsidRDefault="00E34A21" w:rsidP="00BE0863">
            <w:pPr>
              <w:rPr>
                <w:sz w:val="20"/>
                <w:szCs w:val="20"/>
              </w:rPr>
            </w:pPr>
            <w:r w:rsidRPr="00E62167">
              <w:rPr>
                <w:sz w:val="20"/>
                <w:szCs w:val="20"/>
              </w:rPr>
              <w:t>2482</w:t>
            </w:r>
          </w:p>
        </w:tc>
        <w:tc>
          <w:tcPr>
            <w:tcW w:w="1872" w:type="dxa"/>
            <w:shd w:val="clear" w:color="auto" w:fill="auto"/>
          </w:tcPr>
          <w:p w:rsidR="00E34A21" w:rsidRPr="00E62167" w:rsidRDefault="00E34A21" w:rsidP="00BE0863">
            <w:pPr>
              <w:spacing w:before="120"/>
              <w:ind w:hanging="108"/>
              <w:rPr>
                <w:sz w:val="20"/>
                <w:szCs w:val="20"/>
              </w:rPr>
            </w:pPr>
            <w:r w:rsidRPr="00E62167">
              <w:rPr>
                <w:sz w:val="20"/>
                <w:szCs w:val="20"/>
              </w:rPr>
              <w:t xml:space="preserve">) х 100% = </w:t>
            </w:r>
            <w:r>
              <w:rPr>
                <w:sz w:val="20"/>
                <w:szCs w:val="20"/>
              </w:rPr>
              <w:t>137</w:t>
            </w:r>
            <w:r w:rsidRPr="00E62167">
              <w:rPr>
                <w:sz w:val="20"/>
                <w:szCs w:val="20"/>
              </w:rPr>
              <w:t>%</w:t>
            </w:r>
          </w:p>
        </w:tc>
      </w:tr>
    </w:tbl>
    <w:p w:rsidR="00E34A21" w:rsidRPr="00E62167" w:rsidRDefault="00E34A21" w:rsidP="00E34A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62167">
        <w:rPr>
          <w:b/>
          <w:i/>
          <w:sz w:val="20"/>
          <w:szCs w:val="20"/>
        </w:rPr>
        <w:t>Вывод:</w:t>
      </w:r>
      <w:r w:rsidRPr="00E62167">
        <w:rPr>
          <w:sz w:val="20"/>
          <w:szCs w:val="20"/>
        </w:rPr>
        <w:t xml:space="preserve"> эффективность реализации муниципальной программы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</w:t>
      </w:r>
      <w:r>
        <w:rPr>
          <w:sz w:val="20"/>
          <w:szCs w:val="20"/>
        </w:rPr>
        <w:t>8</w:t>
      </w:r>
      <w:r w:rsidRPr="00E62167">
        <w:rPr>
          <w:sz w:val="20"/>
          <w:szCs w:val="20"/>
        </w:rPr>
        <w:t xml:space="preserve"> год» высокая, т.к. выполнены все объемы работ, при экономии средств бюджета (были проведены аукционы на определение подрядчика по выполнению работ).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6161"/>
    <w:rsid w:val="00104E73"/>
    <w:rsid w:val="004951EC"/>
    <w:rsid w:val="00626161"/>
    <w:rsid w:val="006E6010"/>
    <w:rsid w:val="008A406C"/>
    <w:rsid w:val="009C76F7"/>
    <w:rsid w:val="00A43851"/>
    <w:rsid w:val="00C66AAC"/>
    <w:rsid w:val="00E34A21"/>
    <w:rsid w:val="00EB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616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4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4A2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2252</Words>
  <Characters>12837</Characters>
  <Application>Microsoft Office Word</Application>
  <DocSecurity>0</DocSecurity>
  <Lines>106</Lines>
  <Paragraphs>30</Paragraphs>
  <ScaleCrop>false</ScaleCrop>
  <Company>Krokoz™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5</cp:revision>
  <cp:lastPrinted>2019-04-01T07:59:00Z</cp:lastPrinted>
  <dcterms:created xsi:type="dcterms:W3CDTF">2019-03-25T12:46:00Z</dcterms:created>
  <dcterms:modified xsi:type="dcterms:W3CDTF">2019-04-01T08:00:00Z</dcterms:modified>
</cp:coreProperties>
</file>