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BD61E2">
        <w:t>04</w:t>
      </w:r>
      <w:r w:rsidRPr="00DD2FD9">
        <w:t xml:space="preserve">» </w:t>
      </w:r>
      <w:r w:rsidR="001F5748" w:rsidRPr="00DD2FD9">
        <w:t xml:space="preserve"> </w:t>
      </w:r>
      <w:r w:rsidR="00BD61E2">
        <w:t>марта</w:t>
      </w:r>
      <w:r w:rsidR="00547D5F">
        <w:t xml:space="preserve"> 2021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BD61E2">
        <w:t>68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360" w:rsidRDefault="00A66360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28.12.25021г.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A66360" w:rsidRDefault="00A66360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28.12.25021г.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</w:t>
      </w:r>
      <w:proofErr w:type="gramEnd"/>
      <w:r w:rsidR="00251A3A" w:rsidRPr="00251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3A" w:rsidRPr="00251A3A">
        <w:rPr>
          <w:rFonts w:ascii="Times New Roman" w:hAnsi="Times New Roman" w:cs="Times New Roman"/>
          <w:sz w:val="24"/>
          <w:szCs w:val="24"/>
        </w:rPr>
        <w:t>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 муниципальную  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редакции постановления от 28.12.25021г.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634" w:rsidRP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29262A" w:rsidRPr="00583634" w:rsidRDefault="00587202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4</w:t>
      </w:r>
      <w:r w:rsidR="006F1828" w:rsidRPr="00583634">
        <w:rPr>
          <w:rFonts w:ascii="Times New Roman" w:hAnsi="Times New Roman" w:cs="Times New Roman"/>
          <w:sz w:val="24"/>
          <w:szCs w:val="24"/>
        </w:rPr>
        <w:t>.</w:t>
      </w:r>
      <w:r w:rsidR="0029262A"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8A06CE" w:rsidP="0058363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55" w:rsidRPr="005836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583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583634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583634" w:rsidRDefault="0029262A" w:rsidP="00583634">
      <w:pPr>
        <w:ind w:firstLine="851"/>
        <w:jc w:val="both"/>
      </w:pPr>
      <w:r w:rsidRPr="00583634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МО Громовское сельское поселение</w:t>
            </w:r>
          </w:p>
          <w:p w:rsidR="000149E4" w:rsidRPr="000149E4" w:rsidRDefault="000630CB" w:rsidP="00CD5D0D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            </w:t>
            </w:r>
            <w:r w:rsidR="00CD5D0D">
              <w:rPr>
                <w:lang w:eastAsia="ar-SA"/>
              </w:rPr>
              <w:t>от 04.03.2022г. № 68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МО Громовское сельское поселение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игровым и спортивным оборудованием:  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lastRenderedPageBreak/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5.</w:t>
            </w:r>
            <w:r>
              <w:tab/>
            </w:r>
            <w:proofErr w:type="gramStart"/>
            <w:r>
              <w:t>Количество молодежи принятых в молодежных мероприятиях – 5%</w:t>
            </w:r>
            <w:proofErr w:type="gramEnd"/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</w:t>
            </w:r>
            <w:proofErr w:type="gramStart"/>
            <w:r>
              <w:t>принимающих</w:t>
            </w:r>
            <w:proofErr w:type="gramEnd"/>
            <w:r>
              <w:t xml:space="preserve">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Общий объем бюджетных ассигнований государственной программы составляет 5</w:t>
            </w:r>
            <w:r w:rsidR="00154789">
              <w:t xml:space="preserve"> 412,1 </w:t>
            </w:r>
            <w:r w:rsidRPr="000149E4">
              <w:t xml:space="preserve"> тыс. руб., в том числе: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2022 год -  </w:t>
            </w:r>
            <w:r w:rsidR="00154789" w:rsidRPr="00154789">
              <w:t>5</w:t>
            </w:r>
            <w:r w:rsidR="00154789">
              <w:t> </w:t>
            </w:r>
            <w:r w:rsidR="00211978">
              <w:t>2</w:t>
            </w:r>
            <w:r w:rsidR="00154789">
              <w:t xml:space="preserve">46,0 </w:t>
            </w:r>
            <w:r w:rsidRPr="000149E4">
              <w:t>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proofErr w:type="gramStart"/>
            <w:r w:rsidRPr="000149E4">
              <w:t xml:space="preserve">ОБ- </w:t>
            </w:r>
            <w:r w:rsidR="00154789">
              <w:t>2 735,</w:t>
            </w:r>
            <w:r w:rsidR="00211978">
              <w:t>8</w:t>
            </w:r>
            <w:r w:rsidRPr="000149E4">
              <w:t xml:space="preserve"> тыс. руб. </w:t>
            </w:r>
            <w:proofErr w:type="gramEnd"/>
            <w:r w:rsidRPr="000149E4">
              <w:t xml:space="preserve">МБ – </w:t>
            </w:r>
            <w:r w:rsidR="00154789">
              <w:t>2</w:t>
            </w:r>
            <w:r w:rsidR="00211978">
              <w:t> 470,8</w:t>
            </w:r>
            <w:bookmarkStart w:id="0" w:name="_GoBack"/>
            <w:bookmarkEnd w:id="0"/>
            <w:r w:rsidRPr="000149E4">
              <w:t xml:space="preserve"> тыс. </w:t>
            </w:r>
            <w:proofErr w:type="gramStart"/>
            <w:r w:rsidRPr="000149E4">
              <w:t>руб.</w:t>
            </w:r>
            <w:r w:rsidR="00CA7E8A">
              <w:t xml:space="preserve"> иные источники – 40,0 тыс. руб.</w:t>
            </w:r>
            <w:proofErr w:type="gramEnd"/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2023 год -  52,0 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2024 год -  54,1  тыс. руб.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F85AB1">
        <w:rPr>
          <w:rFonts w:ascii="Times New Roman" w:hAnsi="Times New Roman"/>
          <w:sz w:val="24"/>
          <w:lang w:val="ru-RU"/>
        </w:rPr>
        <w:t>.</w:t>
      </w:r>
      <w:proofErr w:type="gramEnd"/>
      <w:r w:rsidRPr="00F85AB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F85AB1">
        <w:rPr>
          <w:rFonts w:ascii="Times New Roman" w:hAnsi="Times New Roman"/>
          <w:sz w:val="24"/>
          <w:lang w:val="ru-RU"/>
        </w:rPr>
        <w:t>п</w:t>
      </w:r>
      <w:proofErr w:type="gramEnd"/>
      <w:r w:rsidRPr="00F85AB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lastRenderedPageBreak/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 Она реализуется  администрацией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Формировать устойчивую гражданскую позицию у молодёжи.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</w:t>
      </w:r>
      <w:proofErr w:type="spellStart"/>
      <w:r w:rsidRPr="003D4C49">
        <w:rPr>
          <w:rFonts w:ascii="Times New Roman" w:hAnsi="Times New Roman"/>
          <w:sz w:val="24"/>
          <w:lang w:val="ru-RU" w:eastAsia="ar-SA"/>
        </w:rPr>
        <w:t>волонтёрства</w:t>
      </w:r>
      <w:proofErr w:type="spellEnd"/>
      <w:r w:rsidRPr="003D4C49">
        <w:rPr>
          <w:rFonts w:ascii="Times New Roman" w:hAnsi="Times New Roman"/>
          <w:sz w:val="24"/>
          <w:lang w:val="ru-RU" w:eastAsia="ar-SA"/>
        </w:rPr>
        <w:t>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создания объектов молодёжной политики в МО Громовское сельское поселение;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</w:t>
      </w:r>
      <w:r w:rsidR="00863D28" w:rsidRPr="00863D28">
        <w:rPr>
          <w:rFonts w:ascii="Times New Roman" w:hAnsi="Times New Roman"/>
          <w:sz w:val="24"/>
          <w:lang w:val="ru-RU" w:eastAsia="ar-SA"/>
        </w:rPr>
        <w:lastRenderedPageBreak/>
        <w:t>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="00DE6773">
        <w:rPr>
          <w:rFonts w:ascii="Times New Roman" w:hAnsi="Times New Roman"/>
          <w:sz w:val="24"/>
          <w:lang w:val="ru-RU" w:eastAsia="ar-SA"/>
        </w:rPr>
        <w:t xml:space="preserve">МО 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Несмотря на улучшение правовых  и финансово-экономических условий для деятельности малого и среднего предпринимательства на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 поселение,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аспектах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>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</w:t>
      </w:r>
      <w:r>
        <w:rPr>
          <w:rFonts w:ascii="Times New Roman" w:hAnsi="Times New Roman"/>
          <w:sz w:val="24"/>
          <w:lang w:val="ru-RU" w:eastAsia="ar-SA"/>
        </w:rPr>
        <w:t xml:space="preserve"> </w:t>
      </w:r>
      <w:r w:rsidR="00576A92">
        <w:rPr>
          <w:rFonts w:ascii="Times New Roman" w:hAnsi="Times New Roman"/>
          <w:sz w:val="24"/>
          <w:lang w:val="ru-RU" w:eastAsia="ar-SA"/>
        </w:rPr>
        <w:t>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рамках данной программы предоставляется возможность 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 xml:space="preserve">, что в свою очередь </w:t>
      </w:r>
      <w:proofErr w:type="gramStart"/>
      <w:r w:rsidR="00576A92">
        <w:rPr>
          <w:rFonts w:ascii="Times New Roman" w:hAnsi="Times New Roman"/>
          <w:sz w:val="24"/>
          <w:lang w:val="ru-RU" w:eastAsia="ar-SA"/>
        </w:rPr>
        <w:t>может</w:t>
      </w:r>
      <w:proofErr w:type="gramEnd"/>
      <w:r w:rsidR="00576A92">
        <w:rPr>
          <w:rFonts w:ascii="Times New Roman" w:hAnsi="Times New Roman"/>
          <w:sz w:val="24"/>
          <w:lang w:val="ru-RU" w:eastAsia="ar-SA"/>
        </w:rPr>
        <w:t xml:space="preserve">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МО Громовское сельское поселение административным центром является п. Громово, в котором создана инициативная группа. </w:t>
      </w:r>
      <w:proofErr w:type="gramStart"/>
      <w:r>
        <w:rPr>
          <w:rFonts w:ascii="Times New Roman" w:hAnsi="Times New Roman"/>
          <w:sz w:val="24"/>
          <w:lang w:val="ru-RU" w:eastAsia="ar-SA"/>
        </w:rPr>
        <w:t xml:space="preserve">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  <w:proofErr w:type="gramEnd"/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Pr="00D51BB5">
        <w:rPr>
          <w:lang w:eastAsia="ar-SA"/>
        </w:rPr>
        <w:t xml:space="preserve">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>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 xml:space="preserve">Федеральных законов от 28 июня 1995 г. №98-ФЗ «О </w:t>
      </w:r>
      <w:proofErr w:type="gramStart"/>
      <w:r w:rsidR="006753CC">
        <w:rPr>
          <w:lang w:eastAsia="ar-SA"/>
        </w:rPr>
        <w:t>государственной</w:t>
      </w:r>
      <w:proofErr w:type="gramEnd"/>
    </w:p>
    <w:p w:rsidR="006753CC" w:rsidRDefault="006753CC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proofErr w:type="gramStart"/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>
        <w:rPr>
          <w:lang w:eastAsia="ar-SA"/>
        </w:rPr>
        <w:t xml:space="preserve">Постановление Верховного совета Российской </w:t>
      </w:r>
      <w:r>
        <w:rPr>
          <w:lang w:eastAsia="ar-SA"/>
        </w:rPr>
        <w:lastRenderedPageBreak/>
        <w:t>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  <w:proofErr w:type="gramEnd"/>
    </w:p>
    <w:p w:rsidR="00EA4468" w:rsidRDefault="006F0DB0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proofErr w:type="gramStart"/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</w:t>
      </w:r>
      <w:proofErr w:type="gramEnd"/>
      <w:r w:rsidR="00EA4468" w:rsidRPr="00EA4468">
        <w:rPr>
          <w:lang w:eastAsia="ar-SA"/>
        </w:rPr>
        <w:t xml:space="preserve">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жизнедеятельности в  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0739F9" w:rsidRDefault="000739F9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 xml:space="preserve">Цели муниципальной </w:t>
      </w:r>
      <w:proofErr w:type="gramStart"/>
      <w:r>
        <w:rPr>
          <w:lang w:eastAsia="ar-SA"/>
        </w:rPr>
        <w:t>программы</w:t>
      </w:r>
      <w:proofErr w:type="gramEnd"/>
      <w:r>
        <w:rPr>
          <w:lang w:eastAsia="ar-SA"/>
        </w:rPr>
        <w:t xml:space="preserve">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BE5865" w:rsidRPr="00EA4468" w:rsidRDefault="00BE5865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</w:p>
    <w:p w:rsidR="00ED07A6" w:rsidRDefault="00ED07A6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87D2E" w:rsidRDefault="00787D2E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P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 w:rsidRPr="00776CBA">
        <w:rPr>
          <w:b/>
          <w:lang w:eastAsia="ar-SA"/>
        </w:rPr>
        <w:t>Риски при  реализации муниципальной программы.</w:t>
      </w:r>
    </w:p>
    <w:p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- риск </w:t>
      </w:r>
      <w:proofErr w:type="gramStart"/>
      <w:r>
        <w:rPr>
          <w:lang w:eastAsia="ar-SA"/>
        </w:rPr>
        <w:t>не 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BD61E2">
          <w:pgSz w:w="11907" w:h="16840" w:code="9"/>
          <w:pgMar w:top="1134" w:right="992" w:bottom="426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№ 383 от 28.12.2021г.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B0AEC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 xml:space="preserve">ировать </w:t>
            </w:r>
            <w:proofErr w:type="gramStart"/>
            <w:r>
              <w:rPr>
                <w:sz w:val="20"/>
                <w:szCs w:val="20"/>
                <w:lang w:eastAsia="en-US"/>
              </w:rPr>
              <w:t>грунтовые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2532B8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2532B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 xml:space="preserve">бровольческую деятельность)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2532B8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</w:t>
            </w:r>
            <w:proofErr w:type="gramStart"/>
            <w:r>
              <w:rPr>
                <w:sz w:val="20"/>
                <w:szCs w:val="20"/>
                <w:lang w:eastAsia="en-US"/>
              </w:rPr>
              <w:t>принимающих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B0AEC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2532B8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A66360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B0AEC" w:rsidRPr="00AC2578" w:rsidTr="00A66360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CB0AEC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 xml:space="preserve">Количество детей пришедших в волонтерскую </w:t>
            </w:r>
            <w:r w:rsidRPr="002532B8">
              <w:rPr>
                <w:sz w:val="20"/>
                <w:szCs w:val="20"/>
                <w:lang w:eastAsia="en-US"/>
              </w:rPr>
              <w:lastRenderedPageBreak/>
              <w:t>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lastRenderedPageBreak/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2E321D" w:rsidP="00C750CB">
      <w:pPr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сельское поселение на 2022-2024гг</w:t>
      </w:r>
    </w:p>
    <w:p w:rsidR="000F738F" w:rsidRDefault="000F738F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C6DA4" w:rsidP="001547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66360">
              <w:rPr>
                <w:b/>
                <w:color w:val="000000"/>
                <w:sz w:val="20"/>
                <w:szCs w:val="20"/>
              </w:rPr>
              <w:t> 2</w:t>
            </w:r>
            <w:r w:rsidR="00154789">
              <w:rPr>
                <w:b/>
                <w:color w:val="000000"/>
                <w:sz w:val="20"/>
                <w:szCs w:val="20"/>
              </w:rPr>
              <w:t>4</w:t>
            </w:r>
            <w:r w:rsidR="00A66360">
              <w:rPr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66360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15478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Pr="0051364A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3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48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6E108D" w:rsidP="001547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54789">
              <w:rPr>
                <w:b/>
                <w:color w:val="000000"/>
                <w:sz w:val="20"/>
                <w:szCs w:val="20"/>
              </w:rPr>
              <w:t>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974282" w:rsidP="002B43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B437A">
              <w:rPr>
                <w:b/>
                <w:color w:val="000000"/>
                <w:sz w:val="20"/>
                <w:szCs w:val="20"/>
              </w:rPr>
              <w:t> 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47575E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74282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5478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 xml:space="preserve">Глава </w:t>
            </w:r>
            <w:r w:rsidRPr="00D6034B">
              <w:rPr>
                <w:color w:val="000000"/>
                <w:sz w:val="20"/>
                <w:szCs w:val="20"/>
              </w:rPr>
              <w:lastRenderedPageBreak/>
              <w:t>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="0077658A"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содействию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F3468E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68E" w:rsidRPr="0051364A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F94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</w:t>
            </w:r>
            <w:r w:rsidR="00F94E0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64695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77658A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F94E0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1D13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3" w:rsidRPr="0051364A" w:rsidRDefault="00661D13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3" w:rsidRPr="0051364A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E108D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1D13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1D13">
              <w:rPr>
                <w:bCs/>
                <w:color w:val="000000"/>
                <w:sz w:val="20"/>
                <w:szCs w:val="20"/>
              </w:rPr>
              <w:t xml:space="preserve">Ремонт поселковой дороги по ул. </w:t>
            </w:r>
            <w:proofErr w:type="gramStart"/>
            <w:r w:rsidRPr="00661D13">
              <w:rPr>
                <w:bCs/>
                <w:color w:val="000000"/>
                <w:sz w:val="20"/>
                <w:szCs w:val="20"/>
              </w:rPr>
              <w:t>Цветочная</w:t>
            </w:r>
            <w:proofErr w:type="gramEnd"/>
            <w:r w:rsidRPr="00661D13">
              <w:rPr>
                <w:bCs/>
                <w:color w:val="000000"/>
                <w:sz w:val="20"/>
                <w:szCs w:val="20"/>
              </w:rPr>
              <w:t xml:space="preserve">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1D13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3468E" w:rsidRDefault="00F3468E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A7E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</w:t>
            </w:r>
            <w:r w:rsidR="00CA7E8A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CA7E8A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1D13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A7E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</w:t>
            </w:r>
            <w:r w:rsidR="00CA7E8A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961424" w:rsidRDefault="00CA7E8A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Default="00F3468E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6D0F6D" w:rsidRPr="00664695" w:rsidRDefault="006D0F6D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CD5D0D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D5D0D">
              <w:rPr>
                <w:b/>
                <w:bCs/>
                <w:color w:val="000000"/>
                <w:sz w:val="20"/>
                <w:szCs w:val="20"/>
              </w:rPr>
              <w:t> 685,1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CD5D0D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F3468E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D5D0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D0D" w:rsidRPr="00512C60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D6034B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D0D" w:rsidRPr="00664695" w:rsidRDefault="00CD5D0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685,1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5D0D" w:rsidRPr="00664695" w:rsidRDefault="00CD5D0D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84C2F" w:rsidRPr="00684C2F">
              <w:rPr>
                <w:bCs/>
                <w:color w:val="000000"/>
                <w:sz w:val="20"/>
                <w:szCs w:val="20"/>
              </w:rPr>
              <w:t xml:space="preserve">Ремонт внутрипоселковых грунтовых дорог в пос. </w:t>
            </w:r>
            <w:proofErr w:type="gramStart"/>
            <w:r w:rsidR="00684C2F" w:rsidRPr="00684C2F">
              <w:rPr>
                <w:bCs/>
                <w:color w:val="000000"/>
                <w:sz w:val="20"/>
                <w:szCs w:val="20"/>
              </w:rPr>
              <w:t>Красноармейское</w:t>
            </w:r>
            <w:proofErr w:type="gramEnd"/>
            <w:r w:rsidR="00684C2F" w:rsidRPr="00684C2F">
              <w:rPr>
                <w:bCs/>
                <w:color w:val="000000"/>
                <w:sz w:val="20"/>
                <w:szCs w:val="20"/>
              </w:rPr>
              <w:t>, пос. Владимировка, пос. Приладожское, пос. Яблоновка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</w:t>
            </w:r>
            <w:r w:rsidR="00684C2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</w:t>
            </w:r>
            <w:r w:rsidR="00684C2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</w:t>
            </w:r>
            <w:r w:rsidR="00DE4793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84C2F"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CD5D0D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CD5D0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EC699A" w:rsidTr="00684C2F">
        <w:trPr>
          <w:trHeight w:val="497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CD5D0D" w:rsidP="00CD5D0D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CD5D0D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</w:t>
            </w:r>
            <w:r w:rsidR="00DE4793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 w:rsidR="00DE4793">
              <w:rPr>
                <w:bCs/>
                <w:color w:val="000000"/>
                <w:sz w:val="20"/>
                <w:szCs w:val="20"/>
              </w:rPr>
              <w:t xml:space="preserve">в п. Приладожское </w:t>
            </w:r>
            <w:r w:rsidR="00684C2F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="00DE4793">
              <w:rPr>
                <w:bCs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CD5D0D"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="00684C2F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A4F5A" w:rsidRPr="00EC699A" w:rsidTr="00DE4793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512C60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D6034B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EC699A" w:rsidRDefault="009A4F5A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="00684C2F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F5A" w:rsidRPr="00A158EE" w:rsidRDefault="00684C2F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</w:t>
            </w:r>
            <w:r w:rsidR="009A4F5A"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EC699A" w:rsidTr="006D0F6D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EC699A" w:rsidRDefault="006E108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6B5687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6B5687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6B5687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EC699A" w:rsidTr="006B5687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EC699A" w:rsidRDefault="006E108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3E210B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6B5687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7A088C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A6636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6B5687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6B5687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6B5687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3E210B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3E2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6D0F6D">
          <w:pgSz w:w="16840" w:h="11907" w:orient="landscape" w:code="9"/>
          <w:pgMar w:top="426" w:right="567" w:bottom="1702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F7" w:rsidRDefault="006826F7" w:rsidP="00ED1803">
      <w:r>
        <w:separator/>
      </w:r>
    </w:p>
  </w:endnote>
  <w:endnote w:type="continuationSeparator" w:id="0">
    <w:p w:rsidR="006826F7" w:rsidRDefault="006826F7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F7" w:rsidRDefault="006826F7" w:rsidP="00ED1803">
      <w:r>
        <w:separator/>
      </w:r>
    </w:p>
  </w:footnote>
  <w:footnote w:type="continuationSeparator" w:id="0">
    <w:p w:rsidR="006826F7" w:rsidRDefault="006826F7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60" w:rsidRDefault="00A663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54B3"/>
    <w:rsid w:val="00CD5D0D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8</cp:revision>
  <cp:lastPrinted>2022-02-01T11:14:00Z</cp:lastPrinted>
  <dcterms:created xsi:type="dcterms:W3CDTF">2022-03-04T13:51:00Z</dcterms:created>
  <dcterms:modified xsi:type="dcterms:W3CDTF">2022-03-04T14:08:00Z</dcterms:modified>
</cp:coreProperties>
</file>