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uppressAutoHyphens w:val="0"/>
        <w:autoSpaceDE w:val="0"/>
        <w:autoSpaceDN w:val="0"/>
        <w:adjustRightInd w:val="0"/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</w:pPr>
      <w:r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  <w:t>Жилищные условия за счет материнского капитала улучшили 11 тысяч семей Санкт-Петербурга и Ленинградской области</w:t>
      </w:r>
    </w:p>
    <w:p>
      <w:pPr>
        <w:suppressAutoHyphens w:val="0"/>
        <w:autoSpaceDE w:val="0"/>
        <w:autoSpaceDN w:val="0"/>
        <w:adjustRightInd w:val="0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28.04.2022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 xml:space="preserve">С начала года больше 11 тыс. семей Санкт-Петербурга и Ленинградской области направили средства </w:t>
      </w:r>
      <w:hyperlink r:id="rId7" w:history="1">
        <w:r>
          <w:rPr>
            <w:rFonts w:ascii="Tms Rmn" w:eastAsiaTheme="minorHAnsi" w:hAnsi="Tms Rmn" w:cs="Tms Rmn"/>
            <w:color w:val="0000FF"/>
            <w:u w:val="single"/>
            <w:lang w:eastAsia="en-US"/>
          </w:rPr>
          <w:t>материнского капитала</w:t>
        </w:r>
      </w:hyperlink>
      <w:r>
        <w:rPr>
          <w:rFonts w:ascii="Tms Rmn" w:eastAsiaTheme="minorHAnsi" w:hAnsi="Tms Rmn" w:cs="Tms Rmn"/>
          <w:color w:val="000000"/>
          <w:lang w:eastAsia="en-US"/>
        </w:rPr>
        <w:t xml:space="preserve"> на улучшение жилищных условий. Как и прежде, это направление программы стало самым востребованным. Всего по нему было подано больше половины заявлений о распоряжении средствами, или 55% от общего количества обращений, поступивших с января.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Частично или полностью погасили материнским капиталом кредит либо первый взнос на приобретение или строительство жилья порядка 10 тыс. семей. Еще более 1 тыс. семей улучшили жилищные условия без привлечения кредитных средств.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 xml:space="preserve">Напомним, что с 2020 года родители могут распорядиться </w:t>
      </w:r>
      <w:proofErr w:type="spellStart"/>
      <w:r>
        <w:rPr>
          <w:rFonts w:ascii="Tms Rmn" w:eastAsiaTheme="minorHAnsi" w:hAnsi="Tms Rmn" w:cs="Tms Rmn"/>
          <w:color w:val="000000"/>
          <w:lang w:eastAsia="en-US"/>
        </w:rPr>
        <w:t>маткапиталом</w:t>
      </w:r>
      <w:proofErr w:type="spellEnd"/>
      <w:r>
        <w:rPr>
          <w:rFonts w:ascii="Tms Rmn" w:eastAsiaTheme="minorHAnsi" w:hAnsi="Tms Rmn" w:cs="Tms Rmn"/>
          <w:color w:val="000000"/>
          <w:lang w:eastAsia="en-US"/>
        </w:rPr>
        <w:t xml:space="preserve"> на улучшение жилищных условий непосредственно через кредитные организации. В банке одновременно с оформлением кредита на покупку или строительство жилья подается заявление об оплате материнским капиталом первого взноса, процентов или основного долга по кредиту. То есть вместо двух обращений – в банк и Пенсионный фонд – семье достаточно обратиться только в банк. Заявления и необходимые документы кредитные организации передают в ПФР по электронным каналам, что позволяет ускорить распоряжение.</w:t>
      </w:r>
    </w:p>
    <w:p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Направить средства на улучшение жилищных условий можно, когда ребёнку, давшему право на материнский капитал, исполнится три года. Исключение – уплата первоначального взноса по жилищному кредиту или займу, а также направление средств на погашение жилищных кредитов и займов. В этом случае воспользоваться капиталом можно сразу после рождения или усыновления ребёнка.</w:t>
      </w:r>
    </w:p>
    <w:p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Tms Rmn"/>
          <w:color w:val="000000"/>
          <w:lang w:eastAsia="en-US"/>
        </w:rPr>
      </w:pPr>
    </w:p>
    <w:p>
      <w:pPr>
        <w:rPr>
          <w:rFonts w:eastAsiaTheme="minorHAnsi"/>
          <w:szCs w:val="28"/>
        </w:rPr>
      </w:pPr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>ПРЕСС-СЛУЖБА ОПФР ПО СПБ И ЛО</w:t>
      </w:r>
    </w:p>
    <w:sectPr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49AF8"/>
    <w:lvl w:ilvl="0">
      <w:numFmt w:val="bullet"/>
      <w:lvlText w:val="*"/>
      <w:lvlJc w:val="left"/>
    </w:lvl>
  </w:abstractNum>
  <w:abstractNum w:abstractNumId="1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A69FA"/>
    <w:multiLevelType w:val="multilevel"/>
    <w:tmpl w:val="DB7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5586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1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7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fr.gov.ru/grazhdanam/m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057DurovaEI</dc:creator>
  <cp:keywords/>
  <dc:description/>
  <cp:lastModifiedBy>057DurovaEI</cp:lastModifiedBy>
  <cp:revision>115</cp:revision>
  <dcterms:created xsi:type="dcterms:W3CDTF">2021-10-01T06:53:00Z</dcterms:created>
  <dcterms:modified xsi:type="dcterms:W3CDTF">2022-04-28T14:10:00Z</dcterms:modified>
</cp:coreProperties>
</file>