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854" w:rsidRPr="00762854" w:rsidRDefault="00762854" w:rsidP="00762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8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22.12.2022             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уточнены требования, предъявляемые к участникам отбора на получение субсидий, определяемые правовым актом, а также введено ограничение на установление в правовых актах, регулирующих предоставление субсидий по льготным кредитам, ряда требований, в том числе к наличию опыта, а также наличию материально-технической базы, необходимых для достижения результатов предоставления субсидии.</w:t>
      </w:r>
    </w:p>
    <w:p w:rsidR="00077926" w:rsidRPr="00762854" w:rsidRDefault="00762854" w:rsidP="00762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2854">
        <w:rPr>
          <w:rFonts w:ascii="Times New Roman" w:hAnsi="Times New Roman" w:cs="Times New Roman"/>
          <w:sz w:val="24"/>
          <w:szCs w:val="24"/>
        </w:rPr>
        <w:t>В соответствии с пунктом 3 постановления органам местного самоуправления рекомендовано привести в соответствие с настоящим постановлением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при первом внесении в них изменений.</w:t>
      </w:r>
    </w:p>
    <w:sectPr w:rsidR="00077926" w:rsidRPr="0076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4"/>
    <w:rsid w:val="00077926"/>
    <w:rsid w:val="007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DC9E"/>
  <w15:chartTrackingRefBased/>
  <w15:docId w15:val="{997D5940-69FA-4822-8592-B465A16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2023-01-17T09:50:00Z</dcterms:created>
  <dcterms:modified xsi:type="dcterms:W3CDTF">2023-01-17T09:51:00Z</dcterms:modified>
</cp:coreProperties>
</file>